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tabs>
          <w:tab w:val="clear" w:pos="708"/>
          <w:tab w:val="left" w:pos="992" w:leader="none"/>
        </w:tabs>
        <w:spacing w:lineRule="auto" w:line="360" w:before="120" w:after="120"/>
        <w:ind w:left="0" w:hanging="0"/>
        <w:jc w:val="center"/>
        <w:outlineLvl w:val="0"/>
        <w:rPr>
          <w:rFonts w:ascii="Times New Roman" w:hAnsi="Times New Roman"/>
        </w:rPr>
      </w:pPr>
      <w:r>
        <w:rPr>
          <w:rFonts w:eastAsia="Times New Roman" w:cs="Times New Roman" w:ascii="Times New Roman" w:hAnsi="Times New Roman"/>
          <w:b/>
          <w:bCs/>
          <w:sz w:val="24"/>
          <w:szCs w:val="24"/>
          <w:lang w:val="en-US" w:eastAsia="ru-RU"/>
        </w:rPr>
        <w:t>I</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iCs/>
          <w:smallCaps/>
          <w:sz w:val="24"/>
          <w:szCs w:val="24"/>
          <w:lang w:eastAsia="ru-RU"/>
        </w:rPr>
        <w:t>ИНФОРМАЦИОННАЯ КАРТА ЗАКУПКИ</w:t>
      </w:r>
    </w:p>
    <w:p>
      <w:pPr>
        <w:pStyle w:val="Normal"/>
        <w:numPr>
          <w:ilvl w:val="0"/>
          <w:numId w:val="0"/>
        </w:numPr>
        <w:tabs>
          <w:tab w:val="clear" w:pos="708"/>
          <w:tab w:val="left" w:pos="360" w:leader="none"/>
          <w:tab w:val="left" w:pos="4646" w:leader="none"/>
        </w:tabs>
        <w:spacing w:lineRule="auto" w:line="360" w:before="120" w:after="120"/>
        <w:ind w:left="0" w:firstLine="720"/>
        <w:jc w:val="center"/>
        <w:outlineLvl w:val="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bl>
      <w:tblPr>
        <w:tblW w:w="10466" w:type="dxa"/>
        <w:jc w:val="left"/>
        <w:tblInd w:w="-175" w:type="dxa"/>
        <w:tblLayout w:type="fixed"/>
        <w:tblCellMar>
          <w:top w:w="0" w:type="dxa"/>
          <w:left w:w="108" w:type="dxa"/>
          <w:bottom w:w="0" w:type="dxa"/>
          <w:right w:w="108" w:type="dxa"/>
        </w:tblCellMar>
        <w:tblLook w:firstRow="1" w:noVBand="0" w:lastRow="0" w:firstColumn="0" w:lastColumn="0" w:noHBand="0" w:val="0020"/>
      </w:tblPr>
      <w:tblGrid>
        <w:gridCol w:w="415"/>
        <w:gridCol w:w="2695"/>
        <w:gridCol w:w="7356"/>
      </w:tblGrid>
      <w:tr>
        <w:trPr>
          <w:tblHeader w:val="true"/>
          <w:trHeight w:val="2074" w:hRule="atLeast"/>
        </w:trPr>
        <w:tc>
          <w:tcPr>
            <w:tcW w:w="4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w:t>
            </w:r>
          </w:p>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ind w:firstLine="34"/>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shd w:fill="FFFF00" w:val="clear"/>
                <w:lang w:eastAsia="ru-RU"/>
              </w:rPr>
            </w:pPr>
            <w:r>
              <w:rPr>
                <w:rFonts w:eastAsia="Times New Roman" w:cs="Times New Roman" w:ascii="Times New Roman" w:hAnsi="Times New Roman"/>
                <w:sz w:val="24"/>
                <w:szCs w:val="24"/>
                <w:lang w:eastAsia="zh-CN"/>
              </w:rPr>
              <w:t>223910600268591060100100540004211243</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Администрация города Армянска</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Республики Крым</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Юридический адрес: 296012, Республики Крым, г.Армянск, ул. Симферопольская, 7.</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 нахождения (фактический адрес): 296012, Республики Крым, г.Армянск, ул. Симферопольская, 7.</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Почтовый адрес: 296012, Республики Крым, г.Армянск, ул. Симферопольская, 7.</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электронной почты: arm.adm.zakup@yandex.ru</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0-36567-34673</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ОГРН 1149102100542</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ИНН 9106002685</w:t>
            </w:r>
            <w:bookmarkStart w:id="0" w:name="_GoBack"/>
            <w:bookmarkEnd w:id="0"/>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ind w:firstLine="34"/>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г.Армянск, ул. Симферопольская, 7</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Руководитель Николаенко Анжела Александровна, тел.0-36567-34673</w:t>
            </w:r>
          </w:p>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Адрес электронной почты: arm.adm.zakup@yandex.ru</w:t>
            </w:r>
          </w:p>
        </w:tc>
      </w:tr>
      <w:tr>
        <w:trPr>
          <w:trHeight w:val="1380" w:hRule="atLeast"/>
        </w:trPr>
        <w:tc>
          <w:tcPr>
            <w:tcW w:w="415" w:type="dxa"/>
            <w:tcBorders>
              <w:top w:val="single" w:sz="4" w:space="0" w:color="000000"/>
              <w:left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bookmarkStart w:id="1" w:name="_Ref166267388"/>
            <w:bookmarkStart w:id="2" w:name="_Ref166267388"/>
            <w:bookmarkEnd w:id="2"/>
          </w:p>
        </w:tc>
        <w:tc>
          <w:tcPr>
            <w:tcW w:w="2695" w:type="dxa"/>
            <w:tcBorders>
              <w:top w:val="single" w:sz="4" w:space="0" w:color="000000"/>
              <w:left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pPr>
              <w:pStyle w:val="Normal"/>
              <w:widowControl w:val="false"/>
              <w:shd w:val="clear" w:color="auto" w:fill="FFFFFF"/>
              <w:spacing w:lineRule="auto" w:line="240" w:before="0" w:after="0"/>
              <w:ind w:firstLine="34"/>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http://armgov.ru/</w:t>
            </w:r>
          </w:p>
          <w:p>
            <w:pPr>
              <w:pStyle w:val="Normal"/>
              <w:widowControl w:val="false"/>
              <w:shd w:val="clear" w:color="auto" w:fill="FFFFFF"/>
              <w:spacing w:lineRule="auto" w:line="240" w:before="0" w:after="0"/>
              <w:ind w:firstLine="34"/>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hd w:val="clear" w:color="auto" w:fill="FFFFFF"/>
              <w:spacing w:lineRule="auto" w:line="240" w:before="0" w:after="0"/>
              <w:ind w:firstLine="34"/>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r>
      <w:tr>
        <w:trPr/>
        <w:tc>
          <w:tcPr>
            <w:tcW w:w="415" w:type="dxa"/>
            <w:tcBorders>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ind w:firstLine="34"/>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Выполнение работ по объекту: «Капитальный ремонт дворовых и прилегающих территорий к домам 2,8,10 ул. Гайдара города Армянска»</w:t>
            </w:r>
          </w:p>
        </w:tc>
      </w:tr>
      <w:tr>
        <w:trPr>
          <w:trHeight w:val="631" w:hRule="atLeast"/>
        </w:trPr>
        <w:tc>
          <w:tcPr>
            <w:tcW w:w="4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bookmarkStart w:id="3" w:name="_Ref166267499"/>
            <w:bookmarkStart w:id="4" w:name="_Ref166267456"/>
            <w:bookmarkStart w:id="5" w:name="_Ref166267499"/>
            <w:bookmarkStart w:id="6" w:name="_Ref166267456"/>
            <w:bookmarkEnd w:id="5"/>
            <w:bookmarkEnd w:id="6"/>
          </w:p>
        </w:tc>
        <w:tc>
          <w:tcPr>
            <w:tcW w:w="2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разделе </w:t>
            </w:r>
            <w:r>
              <w:rPr>
                <w:rFonts w:eastAsia="Times New Roman" w:cs="Times New Roman" w:ascii="Times New Roman" w:hAnsi="Times New Roman"/>
                <w:b/>
                <w:bCs/>
                <w:sz w:val="24"/>
                <w:szCs w:val="24"/>
                <w:lang w:eastAsia="ru-RU"/>
              </w:rPr>
              <w:t>II. ОПИСАНИЕ ОБЪЕКТА ЗАКУПКИ (ТЕХНИЧЕСКОЕ ЗАДАНИЕ)</w:t>
            </w:r>
          </w:p>
        </w:tc>
      </w:tr>
      <w:tr>
        <w:trPr>
          <w:trHeight w:val="453" w:hRule="atLeast"/>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296012 Республика Крым, г. Армянск, ул. Гайдара</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6015" w:leader="none"/>
                <w:tab w:val="left" w:pos="6090" w:leader="none"/>
                <w:tab w:val="right" w:pos="7267" w:leader="none"/>
                <w:tab w:val="center" w:pos="7622" w:leader="none"/>
                <w:tab w:val="right" w:pos="9451" w:leader="none"/>
              </w:tabs>
              <w:spacing w:lineRule="atLeast" w:line="240" w:before="0" w:after="60"/>
              <w:contextualSpacing/>
              <w:jc w:val="both"/>
              <w:rPr>
                <w:rFonts w:ascii="Times New Roman" w:hAnsi="Times New Roman" w:eastAsia="Droid Sans Fallback" w:cs="Times New Roman"/>
                <w:sz w:val="24"/>
                <w:szCs w:val="24"/>
                <w:lang w:eastAsia="zh-CN" w:bidi="hi-IN"/>
              </w:rPr>
            </w:pPr>
            <w:r>
              <w:rPr>
                <w:rFonts w:eastAsia="Droid Sans Fallback" w:cs="Times New Roman" w:ascii="Times New Roman" w:hAnsi="Times New Roman"/>
                <w:sz w:val="24"/>
                <w:szCs w:val="24"/>
                <w:lang w:eastAsia="zh-CN" w:bidi="hi-IN"/>
              </w:rPr>
              <w:t>Срок начала выполнения работ: со дня заключения контракта</w:t>
            </w:r>
          </w:p>
          <w:p>
            <w:pPr>
              <w:pStyle w:val="Normal"/>
              <w:widowControl w:val="false"/>
              <w:shd w:val="clear" w:color="auto" w:fill="FFFFFF"/>
              <w:tabs>
                <w:tab w:val="clear" w:pos="708"/>
                <w:tab w:val="left" w:pos="6015" w:leader="none"/>
                <w:tab w:val="left" w:pos="6090" w:leader="none"/>
                <w:tab w:val="right" w:pos="7267" w:leader="none"/>
                <w:tab w:val="center" w:pos="7622" w:leader="none"/>
                <w:tab w:val="right" w:pos="9451" w:leader="none"/>
              </w:tabs>
              <w:spacing w:lineRule="atLeast" w:line="240" w:before="0" w:after="60"/>
              <w:contextualSpacing/>
              <w:jc w:val="both"/>
              <w:rPr>
                <w:rFonts w:ascii="Times New Roman" w:hAnsi="Times New Roman" w:eastAsia="Droid Sans Fallback" w:cs="Times New Roman"/>
                <w:sz w:val="24"/>
                <w:szCs w:val="24"/>
                <w:lang w:eastAsia="zh-CN" w:bidi="hi-IN"/>
              </w:rPr>
            </w:pPr>
            <w:r>
              <w:rPr>
                <w:rFonts w:eastAsia="Droid Sans Fallback" w:cs="Times New Roman" w:ascii="Times New Roman" w:hAnsi="Times New Roman"/>
                <w:sz w:val="24"/>
                <w:szCs w:val="24"/>
                <w:lang w:eastAsia="zh-CN" w:bidi="hi-IN"/>
              </w:rPr>
              <w:t>Срок завершения работ на объекте: до 01 июля 2022 года.</w:t>
            </w:r>
          </w:p>
          <w:p>
            <w:pPr>
              <w:pStyle w:val="Normal"/>
              <w:widowControl w:val="false"/>
              <w:shd w:val="clear" w:color="auto" w:fill="FFFFFF"/>
              <w:tabs>
                <w:tab w:val="clear" w:pos="708"/>
                <w:tab w:val="left" w:pos="6015" w:leader="none"/>
                <w:tab w:val="left" w:pos="6090" w:leader="none"/>
                <w:tab w:val="right" w:pos="7267" w:leader="none"/>
                <w:tab w:val="center" w:pos="7622" w:leader="none"/>
                <w:tab w:val="right" w:pos="9451" w:leader="none"/>
              </w:tabs>
              <w:spacing w:lineRule="atLeast" w:line="240" w:before="0" w:after="60"/>
              <w:contextualSpacing/>
              <w:jc w:val="both"/>
              <w:rPr>
                <w:rFonts w:ascii="Times New Roman" w:hAnsi="Times New Roman" w:eastAsia="Droid Sans Fallback" w:cs="Times New Roman"/>
                <w:sz w:val="24"/>
                <w:szCs w:val="24"/>
                <w:lang w:eastAsia="zh-CN" w:bidi="hi-IN"/>
              </w:rPr>
            </w:pPr>
            <w:r>
              <w:rPr>
                <w:rFonts w:eastAsia="Droid Sans Fallback" w:cs="Times New Roman" w:ascii="Times New Roman" w:hAnsi="Times New Roman"/>
                <w:sz w:val="24"/>
                <w:szCs w:val="24"/>
                <w:lang w:eastAsia="zh-CN" w:bidi="hi-IN"/>
              </w:rPr>
              <w:t>По Контракту допускается досрочное выполнение работ.</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34"/>
              <w:jc w:val="both"/>
              <w:rPr>
                <w:rFonts w:ascii="Times New Roman" w:hAnsi="Times New Roman"/>
                <w:b/>
                <w:b/>
                <w:highlight w:val="yellow"/>
              </w:rPr>
            </w:pPr>
            <w:r>
              <w:rPr>
                <w:rFonts w:eastAsia="Times New Roman" w:cs="Times New Roman" w:ascii="Times New Roman" w:hAnsi="Times New Roman"/>
                <w:b/>
                <w:sz w:val="24"/>
                <w:szCs w:val="24"/>
                <w:lang w:eastAsia="ru-RU"/>
              </w:rPr>
              <w:t>11 736 080,00 рублей (одиннадцать миллионов семьсот тридцать шесть тысяч восемьдесят рублей 00 копеек)</w:t>
            </w:r>
          </w:p>
        </w:tc>
      </w:tr>
      <w:tr>
        <w:trPr/>
        <w:tc>
          <w:tcPr>
            <w:tcW w:w="415" w:type="dxa"/>
            <w:tcBorders>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Обоснование начальной (максимальной) цены Контракта</w:t>
            </w:r>
          </w:p>
        </w:tc>
        <w:tc>
          <w:tcPr>
            <w:tcW w:w="7356" w:type="dxa"/>
            <w:tcBorders>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rPr>
            </w:pPr>
            <w:r>
              <w:rPr>
                <w:rFonts w:ascii="Times New Roman" w:hAnsi="Times New Roman"/>
                <w:b/>
                <w:bCs/>
                <w:sz w:val="24"/>
                <w:szCs w:val="24"/>
              </w:rPr>
              <w:t>Раздел</w:t>
            </w:r>
            <w:r>
              <w:rPr>
                <w:rFonts w:ascii="Times New Roman" w:hAnsi="Times New Roman"/>
              </w:rPr>
              <w:t xml:space="preserve"> </w:t>
            </w:r>
            <w:r>
              <w:rPr>
                <w:rFonts w:ascii="Times New Roman" w:hAnsi="Times New Roman"/>
                <w:b/>
                <w:bCs/>
                <w:sz w:val="24"/>
                <w:szCs w:val="24"/>
                <w:lang w:val="en-US"/>
              </w:rPr>
              <w:t>III</w:t>
            </w:r>
            <w:r>
              <w:rPr>
                <w:rFonts w:ascii="Times New Roman" w:hAnsi="Times New Roman"/>
                <w:b/>
                <w:bCs/>
                <w:sz w:val="24"/>
                <w:szCs w:val="24"/>
              </w:rPr>
              <w:t>. ОБОСНОВАНИЕ НАЧАЛЬНОЙ (МАКСИМАЛЬНОЙ) ЦЕНЫ КОНТРАКТА</w:t>
            </w:r>
          </w:p>
        </w:tc>
      </w:tr>
      <w:tr>
        <w:trPr>
          <w:trHeight w:val="653" w:hRule="atLeast"/>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15 (пятнадцати) рабочих дней с даты подписания Заказчиком акта о приемке выполненных работ по форме № КС-2 (оформленного согласно постановлению Госкомстата России от 11.11.99 г.№100) без замечаний со стороны Заказчика, справки о стоимости выполненных работ и затрат по форме № КС-3 (оформленного согласно постановлению Госкомстата России от 11.11.99 г.№100),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Окончательная оплата производится 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p>
        </w:tc>
      </w:tr>
      <w:tr>
        <w:trPr>
          <w:trHeight w:val="986" w:hRule="atLeast"/>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Аванс не предусмотрен</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4"/>
              <w:jc w:val="both"/>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Источник финансирования – бюджет муниципального образования городской округ Армянск Республики Крым (в соответствии с соглашением о предоставлении и расходовании в _____ году субсидии из бюджета Республики Крым бюджету муниципального образования городской округ Армянск Республики Крым в целях софинансирования мероприятий по благоустройству территорий № ________________ от _______20___г.</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Российский рубль</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применяется</w:t>
            </w:r>
            <w:bookmarkStart w:id="7" w:name="OLE_LINK1"/>
            <w:bookmarkStart w:id="8" w:name="OLE_LINK2"/>
            <w:bookmarkEnd w:id="7"/>
            <w:bookmarkEnd w:id="8"/>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На бумажном носителе.</w:t>
            </w:r>
          </w:p>
          <w:p>
            <w:pPr>
              <w:pStyle w:val="Normal"/>
              <w:widowControl w:val="false"/>
              <w:spacing w:lineRule="auto" w:line="240" w:before="0" w:after="0"/>
              <w:rPr>
                <w:rFonts w:ascii="Times New Roman" w:hAnsi="Times New Roman" w:cs="Times New Roman"/>
                <w:sz w:val="24"/>
                <w:szCs w:val="24"/>
                <w:shd w:fill="auto" w:val="clear"/>
              </w:rPr>
            </w:pPr>
            <w:r>
              <w:rPr>
                <w:rFonts w:cs="Times New Roman" w:ascii="Times New Roman" w:hAnsi="Times New Roman"/>
                <w:sz w:val="24"/>
                <w:szCs w:val="24"/>
                <w:shd w:fill="auto" w:val="clear"/>
              </w:rPr>
              <w:t>г. Армянск,  ул. Симферопольская, 7, каб. 18,</w:t>
            </w:r>
          </w:p>
          <w:p>
            <w:pPr>
              <w:pStyle w:val="Normal"/>
              <w:widowControl w:val="false"/>
              <w:spacing w:lineRule="auto" w:line="240" w:before="0" w:after="0"/>
              <w:rPr>
                <w:rFonts w:ascii="Times New Roman" w:hAnsi="Times New Roman" w:cs="Times New Roman"/>
                <w:sz w:val="24"/>
                <w:szCs w:val="24"/>
                <w:shd w:fill="auto" w:val="clear"/>
              </w:rPr>
            </w:pPr>
            <w:r>
              <w:rPr>
                <w:rFonts w:cs="Times New Roman" w:ascii="Times New Roman" w:hAnsi="Times New Roman"/>
                <w:sz w:val="24"/>
                <w:szCs w:val="24"/>
                <w:shd w:fill="auto" w:val="clear"/>
              </w:rPr>
              <w:t>с 19 января 2022г. до 08часов 00 минут по московскому времени 25 января 2022 г.</w:t>
            </w:r>
          </w:p>
          <w:p>
            <w:pPr>
              <w:pStyle w:val="Normal"/>
              <w:widowControl w:val="false"/>
              <w:spacing w:lineRule="auto" w:line="240" w:before="0" w:after="0"/>
              <w:rPr>
                <w:rFonts w:asciiTheme="minorHAnsi" w:cstheme="minorBidi" w:eastAsiaTheme="minorHAnsi" w:hAnsiTheme="minorHAnsi"/>
                <w:shd w:fill="auto" w:val="clear"/>
              </w:rPr>
            </w:pPr>
            <w:r>
              <w:rPr>
                <w:rFonts w:cs="Times New Roman" w:ascii="Times New Roman" w:hAnsi="Times New Roman"/>
                <w:sz w:val="24"/>
                <w:szCs w:val="24"/>
                <w:shd w:fill="auto" w:val="clear"/>
              </w:rPr>
              <w:t>время работы: понедельник-пятница с 8-00ч. до 17-00ч., перерыв с 12-00ч. до 13-00ч</w:t>
            </w:r>
          </w:p>
        </w:tc>
      </w:tr>
    </w:tbl>
    <w:p>
      <w:pPr>
        <w:sectPr>
          <w:type w:val="nextPage"/>
          <w:pgSz w:w="11906" w:h="16838"/>
          <w:pgMar w:left="851" w:right="567" w:header="0" w:top="142" w:footer="0" w:bottom="284" w:gutter="0"/>
          <w:pgNumType w:fmt="decimal"/>
          <w:formProt w:val="false"/>
          <w:titlePg/>
          <w:textDirection w:val="lrTb"/>
          <w:docGrid w:type="default" w:linePitch="326" w:charSpace="12288"/>
        </w:sectPr>
      </w:pPr>
    </w:p>
    <w:p>
      <w:pPr>
        <w:pStyle w:val="Normal"/>
        <w:numPr>
          <w:ilvl w:val="0"/>
          <w:numId w:val="0"/>
        </w:numPr>
        <w:spacing w:lineRule="auto" w:line="240" w:before="0" w:after="0"/>
        <w:ind w:left="0" w:hanging="0"/>
        <w:jc w:val="center"/>
        <w:outlineLvl w:val="1"/>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numPr>
          <w:ilvl w:val="0"/>
          <w:numId w:val="0"/>
        </w:numPr>
        <w:spacing w:lineRule="auto" w:line="240" w:before="0" w:after="0"/>
        <w:ind w:left="0" w:hanging="0"/>
        <w:jc w:val="center"/>
        <w:outlineLvl w:val="1"/>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sz w:val="24"/>
          <w:szCs w:val="24"/>
          <w:lang w:eastAsia="ru-RU"/>
        </w:rPr>
        <w:t>ЕДИНЫЕ ТРЕБОВАНИЯ К УЧАСТНИКАМ ЗАКУПКИ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715" w:type="dxa"/>
        <w:jc w:val="left"/>
        <w:tblInd w:w="-175" w:type="dxa"/>
        <w:tblLayout w:type="fixed"/>
        <w:tblCellMar>
          <w:top w:w="0" w:type="dxa"/>
          <w:left w:w="108" w:type="dxa"/>
          <w:bottom w:w="0" w:type="dxa"/>
          <w:right w:w="108" w:type="dxa"/>
        </w:tblCellMar>
        <w:tblLook w:firstRow="1" w:noVBand="0" w:lastRow="0" w:firstColumn="0" w:lastColumn="0" w:noHBand="0" w:val="0020"/>
      </w:tblPr>
      <w:tblGrid>
        <w:gridCol w:w="675"/>
        <w:gridCol w:w="3004"/>
        <w:gridCol w:w="7036"/>
      </w:tblGrid>
      <w:tr>
        <w:trPr>
          <w:tblHeader w:val="true"/>
          <w:trHeight w:val="326" w:hRule="atLeast"/>
        </w:trPr>
        <w:tc>
          <w:tcPr>
            <w:tcW w:w="67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6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пункта</w:t>
            </w:r>
          </w:p>
        </w:tc>
        <w:tc>
          <w:tcPr>
            <w:tcW w:w="300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703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rHeight w:val="1206"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300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Единые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Требования к участникам закупки: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участник закупки должен быть действующим членом СРО в области строительства, реконструкции, капитального ремонта объектов капитального строительства (с правом осуществлять строительство, реконструкцию, капитальный ремонт объектов капитального строительства:</w:t>
              <w:br/>
              <w:t>-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и иметь действующую выписку из реестра членов СРО.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б)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иностранных юридических лиц;</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в) СРО, в котором состоит участник, должна иметь компенсационные фонды в соответствии с частью 1, частью 2 статьи 55.16 Градостроительного кодекса Российской Федерации;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г)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д)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е)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*Перечисленные требования не распространяются:</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3)неприостановление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5)отсутствие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5.1)участник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8)участник закупки не является офшорной компанией–установлено;</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9) отсутствие у участника закупки ограничений для участия в закупках, установленных законодательством Российской Федерации – установлено.</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300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300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Дополнительные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40" w:before="0" w:after="0"/>
              <w:contextualSpacing/>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Не установлены.</w:t>
            </w:r>
          </w:p>
          <w:p>
            <w:pPr>
              <w:pStyle w:val="Normal"/>
              <w:widowControl w:val="false"/>
              <w:shd w:val="clear" w:color="auto" w:fill="FFFFFF"/>
              <w:spacing w:lineRule="auto" w:line="240" w:before="0" w:after="0"/>
              <w:ind w:firstLine="439"/>
              <w:contextualSpacing/>
              <w:jc w:val="both"/>
              <w:rPr>
                <w:rFonts w:ascii="Times New Roman" w:hAnsi="Times New Roman" w:eastAsia="Droid Sans Fallback" w:cs="Times New Roman"/>
                <w:sz w:val="24"/>
                <w:szCs w:val="24"/>
                <w:lang w:eastAsia="zh-CN"/>
              </w:rPr>
            </w:pPr>
            <w:r>
              <w:rPr>
                <w:rFonts w:eastAsia="Droid Sans Fallback" w:cs="Times New Roman" w:ascii="Times New Roman" w:hAnsi="Times New Roman"/>
                <w:sz w:val="24"/>
                <w:szCs w:val="24"/>
                <w:lang w:eastAsia="zh-CN"/>
              </w:rPr>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10040" w:type="dxa"/>
            <w:gridSpan w:val="2"/>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Указанные в настоящем разделе требования предъявляются в равной мере ко всем участникам закупки.</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10040" w:type="dxa"/>
            <w:gridSpan w:val="2"/>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10040" w:type="dxa"/>
            <w:gridSpan w:val="2"/>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40" w:before="0" w:after="0"/>
              <w:contextualSpacing/>
              <w:jc w:val="both"/>
              <w:rPr>
                <w:rFonts w:ascii="Times New Roman" w:hAnsi="Times New Roman" w:cs="Times New Roman"/>
                <w:sz w:val="24"/>
                <w:szCs w:val="24"/>
                <w:lang w:eastAsia="ru-RU"/>
              </w:rPr>
            </w:pPr>
            <w:r>
              <w:rPr>
                <w:rFonts w:eastAsia="MS Mincho" w:cs="Times New Roman" w:ascii="Times New Roman" w:hAnsi="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Pr>
                <w:rFonts w:eastAsia="Times New Roman" w:cs="Times New Roman" w:ascii="Times New Roman" w:hAnsi="Times New Roman"/>
                <w:b/>
                <w:color w:val="000000"/>
                <w:sz w:val="24"/>
                <w:szCs w:val="24"/>
                <w:shd w:fill="FFFFFF" w:val="clear"/>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Pr>
                <w:rFonts w:eastAsia="MS Mincho" w:cs="Times New Roman" w:ascii="Times New Roman" w:hAnsi="Times New Roman"/>
                <w:b/>
                <w:bCs/>
                <w:sz w:val="24"/>
                <w:szCs w:val="24"/>
                <w:lang w:eastAsia="ru-RU"/>
              </w:rPr>
              <w:t>.</w:t>
            </w:r>
          </w:p>
        </w:tc>
      </w:tr>
    </w:tbl>
    <w:p>
      <w:pPr>
        <w:sectPr>
          <w:type w:val="nextPage"/>
          <w:pgSz w:w="11906" w:h="16838"/>
          <w:pgMar w:left="851" w:right="567" w:header="0" w:top="142" w:footer="0" w:bottom="284" w:gutter="0"/>
          <w:pgNumType w:fmt="decimal"/>
          <w:formProt w:val="false"/>
          <w:textDirection w:val="lrTb"/>
          <w:docGrid w:type="default" w:linePitch="326" w:charSpace="12288"/>
        </w:sectPr>
      </w:pPr>
    </w:p>
    <w:p>
      <w:pPr>
        <w:pStyle w:val="Normal"/>
        <w:numPr>
          <w:ilvl w:val="0"/>
          <w:numId w:val="0"/>
        </w:numPr>
        <w:spacing w:lineRule="auto" w:line="240" w:before="0" w:after="0"/>
        <w:ind w:left="0" w:hanging="0"/>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sz w:val="24"/>
          <w:szCs w:val="24"/>
          <w:lang w:eastAsia="ru-RU"/>
        </w:rPr>
        <w:t xml:space="preserve">ТРЕБОВАНИЯ К СОДЕРЖАНИЮ И СОСТАВУ ЗАЯВКИ НА УЧАСТИЕ </w:t>
      </w:r>
    </w:p>
    <w:tbl>
      <w:tblPr>
        <w:tblW w:w="10774" w:type="dxa"/>
        <w:jc w:val="left"/>
        <w:tblInd w:w="-744" w:type="dxa"/>
        <w:tblLayout w:type="fixed"/>
        <w:tblCellMar>
          <w:top w:w="0" w:type="dxa"/>
          <w:left w:w="108" w:type="dxa"/>
          <w:bottom w:w="0" w:type="dxa"/>
          <w:right w:w="108" w:type="dxa"/>
        </w:tblCellMar>
        <w:tblLook w:firstRow="1" w:noVBand="0" w:lastRow="0" w:firstColumn="0" w:lastColumn="0" w:noHBand="0" w:val="0020"/>
      </w:tblPr>
      <w:tblGrid>
        <w:gridCol w:w="710"/>
        <w:gridCol w:w="2832"/>
        <w:gridCol w:w="7232"/>
      </w:tblGrid>
      <w:tr>
        <w:trPr>
          <w:tblHeader w:val="true"/>
        </w:trPr>
        <w:tc>
          <w:tcPr>
            <w:tcW w:w="71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w:t>
            </w:r>
          </w:p>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832" w:type="dxa"/>
            <w:vMerge w:val="restart"/>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1)Согласие участника закупки на выполнение работы на условиях, предусмотренных документацией о закупке;</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Предложение о цене контракта;</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Предложение о сроках исполнения контракта;</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требуется</w:t>
            </w:r>
          </w:p>
          <w:p>
            <w:pPr>
              <w:pStyle w:val="Normal"/>
              <w:widowControl w:val="false"/>
              <w:shd w:val="clear" w:color="auto" w:fill="FFFFFF"/>
              <w:spacing w:lineRule="auto" w:line="240" w:before="0" w:after="0"/>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копии документов, подтверждающие соответствие участника такого аукциона требованиям, установленным пунктом 1 части 1 статьи 31 Федерального закона № 44-ФЗ, или копии этих документов –  требуется:</w:t>
            </w:r>
          </w:p>
          <w:p>
            <w:pPr>
              <w:pStyle w:val="Normal"/>
              <w:widowControl w:val="false"/>
              <w:shd w:val="clear" w:color="auto" w:fill="FFFFFF"/>
              <w:spacing w:lineRule="auto" w:line="240" w:before="0" w:after="0"/>
              <w:jc w:val="both"/>
              <w:rPr/>
            </w:pPr>
            <w:r>
              <w:rPr>
                <w:rFonts w:eastAsia="SimSun" w:cs="Times New Roman" w:ascii="Times New Roman" w:hAnsi="Times New Roman"/>
                <w:color w:val="000000"/>
                <w:sz w:val="24"/>
                <w:szCs w:val="24"/>
                <w:lang w:eastAsia="ar-SA"/>
              </w:rPr>
              <w:t>Копия</w:t>
            </w:r>
            <w:r>
              <w:rPr>
                <w:rFonts w:eastAsia="SimSun" w:cs="Times New Roman" w:ascii="Times New Roman" w:hAnsi="Times New Roman"/>
                <w:sz w:val="24"/>
                <w:szCs w:val="24"/>
                <w:lang w:eastAsia="ar-SA"/>
              </w:rPr>
              <w:t xml:space="preserve"> действующ</w:t>
            </w:r>
            <w:r>
              <w:rPr>
                <w:rFonts w:eastAsia="SimSun" w:cs="Times New Roman" w:ascii="Times New Roman" w:hAnsi="Times New Roman"/>
                <w:color w:val="000000"/>
                <w:sz w:val="24"/>
                <w:szCs w:val="24"/>
                <w:lang w:eastAsia="ar-SA"/>
              </w:rPr>
              <w:t>ей</w:t>
            </w:r>
            <w:r>
              <w:rPr>
                <w:rFonts w:eastAsia="SimSun" w:cs="Times New Roman" w:ascii="Times New Roman" w:hAnsi="Times New Roman"/>
                <w:sz w:val="24"/>
                <w:szCs w:val="24"/>
                <w:lang w:eastAsia="ar-SA"/>
              </w:rPr>
              <w:t xml:space="preserve"> выписк</w:t>
            </w:r>
            <w:r>
              <w:rPr>
                <w:rFonts w:eastAsia="SimSun" w:cs="Times New Roman" w:ascii="Times New Roman" w:hAnsi="Times New Roman"/>
                <w:color w:val="000000"/>
                <w:sz w:val="24"/>
                <w:szCs w:val="24"/>
                <w:lang w:eastAsia="ar-SA"/>
              </w:rPr>
              <w:t>и</w:t>
            </w:r>
            <w:r>
              <w:rPr>
                <w:rFonts w:eastAsia="SimSun" w:cs="Times New Roman" w:ascii="Times New Roman" w:hAnsi="Times New Roman"/>
                <w:sz w:val="24"/>
                <w:szCs w:val="24"/>
                <w:lang w:eastAsia="ar-SA"/>
              </w:rPr>
              <w:t xml:space="preserve"> из реестра членов СРО по </w:t>
            </w:r>
            <w:hyperlink r:id="rId2" w:tgtFrame="_blank">
              <w:r>
                <w:rPr>
                  <w:rFonts w:eastAsia="SimSun" w:cs="Times New Roman" w:ascii="Times New Roman" w:hAnsi="Times New Roman"/>
                  <w:sz w:val="24"/>
                  <w:szCs w:val="24"/>
                  <w:lang w:eastAsia="ar-SA"/>
                </w:rPr>
                <w:t>форме</w:t>
              </w:r>
            </w:hyperlink>
            <w:r>
              <w:rPr>
                <w:rFonts w:eastAsia="SimSun" w:cs="Times New Roman" w:ascii="Times New Roman" w:hAnsi="Times New Roman"/>
                <w:sz w:val="24"/>
                <w:szCs w:val="24"/>
                <w:lang w:eastAsia="ar-SA"/>
              </w:rPr>
              <w:t xml:space="preserve">, утвержденной Приказом Ростехнадзора от 16.02.2017 N 58,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w:t>
            </w:r>
            <w:r>
              <w:rPr>
                <w:rFonts w:eastAsia="SimSun" w:cs="Times New Roman" w:ascii="Times New Roman" w:hAnsi="Times New Roman"/>
                <w:b/>
                <w:bCs/>
                <w:sz w:val="24"/>
                <w:szCs w:val="24"/>
                <w:lang w:eastAsia="ar-SA"/>
              </w:rPr>
              <w:t>Выданная не ранее чем за</w:t>
            </w:r>
            <w:r>
              <w:rPr>
                <w:rFonts w:eastAsia="SimSun" w:cs="Times New Roman" w:ascii="Times New Roman" w:hAnsi="Times New Roman"/>
                <w:sz w:val="24"/>
                <w:szCs w:val="24"/>
                <w:lang w:eastAsia="ar-SA"/>
              </w:rPr>
              <w:t xml:space="preserve"> </w:t>
            </w:r>
            <w:r>
              <w:rPr>
                <w:rFonts w:eastAsia="SimSun" w:cs="Times New Roman" w:ascii="Times New Roman" w:hAnsi="Times New Roman"/>
                <w:b/>
                <w:bCs/>
                <w:sz w:val="24"/>
                <w:szCs w:val="24"/>
                <w:lang w:eastAsia="ar-SA"/>
              </w:rPr>
              <w:t>30 дней до даты подачи заяв</w:t>
            </w:r>
            <w:r>
              <w:rPr>
                <w:rFonts w:eastAsia="SimSun" w:cs="Times New Roman" w:ascii="Times New Roman" w:hAnsi="Times New Roman"/>
                <w:b/>
                <w:bCs/>
                <w:color w:val="000000"/>
                <w:sz w:val="24"/>
                <w:szCs w:val="24"/>
                <w:lang w:eastAsia="ar-SA"/>
              </w:rPr>
              <w:t>ок.</w:t>
            </w:r>
          </w:p>
          <w:p>
            <w:pPr>
              <w:pStyle w:val="Normal"/>
              <w:widowControl w:val="false"/>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*Перечисленные требования не распространяются:</w:t>
            </w:r>
          </w:p>
          <w:p>
            <w:pPr>
              <w:pStyle w:val="Normal"/>
              <w:widowControl w:val="false"/>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pPr>
              <w:pStyle w:val="Normal"/>
              <w:widowControl w:val="false"/>
              <w:shd w:val="clear" w:color="auto" w:fill="FFFFFF"/>
              <w:spacing w:lineRule="auto" w:line="240" w:before="0" w:after="28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r>
              <w:rPr>
                <w:rFonts w:eastAsia="Times New Roman" w:cs="Times New Roman" w:ascii="Times New Roman" w:hAnsi="Times New Roman"/>
                <w:sz w:val="24"/>
                <w:szCs w:val="24"/>
                <w:lang w:eastAsia="ru-RU"/>
              </w:rPr>
              <w:t>;</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не требуется;</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не требуется.</w:t>
            </w:r>
          </w:p>
          <w:p>
            <w:pPr>
              <w:pStyle w:val="Normal"/>
              <w:widowControl w:val="false"/>
              <w:shd w:val="clear" w:color="auto" w:fill="FFFFFF"/>
              <w:spacing w:lineRule="auto" w:line="240" w:before="0" w:after="0"/>
              <w:jc w:val="both"/>
              <w:rPr>
                <w:rFonts w:ascii="Times New Roman" w:hAnsi="Times New Roman" w:eastAsia="Times New Roman" w:cs="Times New Roman"/>
                <w:b/>
                <w:b/>
                <w:i/>
                <w:i/>
                <w:sz w:val="24"/>
                <w:szCs w:val="24"/>
                <w:highlight w:val="yellow"/>
                <w:lang w:eastAsia="ru-RU"/>
              </w:rPr>
            </w:pPr>
            <w:r>
              <w:rPr>
                <w:rFonts w:eastAsia="Times New Roman" w:cs="Times New Roman" w:ascii="Times New Roman" w:hAnsi="Times New Roman"/>
                <w:b/>
                <w:i/>
                <w:sz w:val="24"/>
                <w:szCs w:val="24"/>
                <w:highlight w:val="yellow"/>
                <w:lang w:eastAsia="ru-RU"/>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ind w:left="432" w:hanging="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832"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232" w:type="dxa"/>
            <w:vMerge w:val="continue"/>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sectPr>
          <w:type w:val="nextPage"/>
          <w:pgSz w:w="11906" w:h="16838"/>
          <w:pgMar w:left="1701" w:right="850" w:header="0" w:top="1134" w:footer="0" w:bottom="1134" w:gutter="0"/>
          <w:pgNumType w:fmt="decimal"/>
          <w:formProt w:val="false"/>
          <w:textDirection w:val="lrTb"/>
          <w:docGrid w:type="default" w:linePitch="360" w:charSpace="12288"/>
        </w:sectPr>
      </w:pP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i/>
          <w:sz w:val="24"/>
          <w:szCs w:val="24"/>
          <w:lang w:eastAsia="ru-RU"/>
        </w:rPr>
        <w:t>Информация об участнике закупки</w:t>
      </w:r>
    </w:p>
    <w:p>
      <w:pPr>
        <w:pStyle w:val="Normal"/>
        <w:numPr>
          <w:ilvl w:val="0"/>
          <w:numId w:val="0"/>
        </w:numPr>
        <w:spacing w:lineRule="auto" w:line="240" w:before="0" w:after="0"/>
        <w:ind w:left="0" w:hanging="0"/>
        <w:jc w:val="right"/>
        <w:outlineLvl w:val="1"/>
        <w:rPr>
          <w:rFonts w:ascii="Times New Roman" w:hAnsi="Times New Roman"/>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Таблица 1</w:t>
      </w:r>
    </w:p>
    <w:tbl>
      <w:tblPr>
        <w:tblW w:w="14616"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460"/>
        <w:gridCol w:w="3519"/>
        <w:gridCol w:w="4400"/>
        <w:gridCol w:w="6236"/>
      </w:tblGrid>
      <w:tr>
        <w:trPr>
          <w:trHeight w:val="540" w:hRule="exact"/>
        </w:trPr>
        <w:tc>
          <w:tcPr>
            <w:tcW w:w="4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415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r>
      <w:tr>
        <w:trPr>
          <w:trHeight w:val="585" w:hRule="atLeast"/>
        </w:trPr>
        <w:tc>
          <w:tcPr>
            <w:tcW w:w="460" w:type="dxa"/>
            <w:tcBorders>
              <w:left w:val="single" w:sz="4" w:space="0" w:color="000000"/>
              <w:bottom w:val="single" w:sz="4" w:space="0" w:color="000000"/>
              <w:right w:val="single" w:sz="4" w:space="0" w:color="000000"/>
            </w:tcBorders>
            <w:shd w:color="000000" w:fill="F2F2F2" w:val="clear"/>
            <w:vAlign w:val="bottom"/>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 xml:space="preserve">№ </w:t>
            </w:r>
            <w:r>
              <w:rPr>
                <w:rFonts w:eastAsia="Times New Roman" w:cs="Times New Roman" w:ascii="Times New Roman" w:hAnsi="Times New Roman"/>
                <w:b/>
                <w:bCs/>
                <w:color w:val="000000"/>
                <w:lang w:eastAsia="ru-RU"/>
              </w:rPr>
              <w:t>п п</w:t>
            </w:r>
          </w:p>
        </w:tc>
        <w:tc>
          <w:tcPr>
            <w:tcW w:w="7919" w:type="dxa"/>
            <w:gridSpan w:val="2"/>
            <w:tcBorders>
              <w:top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Критерий отбора</w:t>
            </w:r>
          </w:p>
        </w:tc>
        <w:tc>
          <w:tcPr>
            <w:tcW w:w="6236" w:type="dxa"/>
            <w:tcBorders>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r>
      <w:tr>
        <w:trPr>
          <w:trHeight w:val="30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Уставной капитал</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Срок существования</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Лицензии</w:t>
            </w:r>
          </w:p>
        </w:tc>
        <w:tc>
          <w:tcPr>
            <w:tcW w:w="44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СРО (на какую сумму)</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351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4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другие</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889"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Укомплектованность техникой</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vMerge w:val="restart"/>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Выполненные контракты</w:t>
            </w:r>
          </w:p>
        </w:tc>
        <w:tc>
          <w:tcPr>
            <w:tcW w:w="4400"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Количество</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351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400"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Сумма средств</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649" w:hRule="atLeast"/>
        </w:trPr>
        <w:tc>
          <w:tcPr>
            <w:tcW w:w="46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351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400"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72"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630"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3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Наличие независимой гарантии</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900"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3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Наличие штрафов от ФАС</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683"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Отсутствие задолжености по налогам, сборам и другим обязательным платежам</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2040"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14</w:t>
            </w:r>
          </w:p>
        </w:tc>
        <w:tc>
          <w:tcPr>
            <w:tcW w:w="7919" w:type="dxa"/>
            <w:gridSpan w:val="2"/>
            <w:tcBorders>
              <w:top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Отсутсвие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Times New Roman" w:hAnsi="Times New Roman" w:eastAsia="Times New Roman" w:cs="Times New Roman"/>
                <w:color w:val="000000"/>
                <w:highlight w:val="yellow"/>
                <w:lang w:eastAsia="ru-RU"/>
              </w:rPr>
            </w:pPr>
            <w:r>
              <w:rPr>
                <w:rFonts w:eastAsia="Times New Roman" w:cs="Times New Roman" w:ascii="Times New Roman" w:hAnsi="Times New Roman"/>
                <w:color w:val="000000"/>
                <w:highlight w:val="yellow"/>
                <w:lang w:eastAsia="ru-RU"/>
              </w:rPr>
            </w:r>
          </w:p>
        </w:tc>
      </w:tr>
      <w:tr>
        <w:trPr>
          <w:trHeight w:val="2505"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Times New Roman" w:hAnsi="Times New Roman" w:eastAsia="Times New Roman" w:cs="Times New Roman"/>
                <w:color w:val="000000"/>
                <w:highlight w:val="yellow"/>
                <w:lang w:eastAsia="ru-RU"/>
              </w:rPr>
            </w:pPr>
            <w:r>
              <w:rPr>
                <w:rFonts w:eastAsia="Times New Roman" w:cs="Times New Roman" w:ascii="Times New Roman" w:hAnsi="Times New Roman"/>
                <w:color w:val="000000"/>
                <w:highlight w:val="yellow"/>
                <w:lang w:eastAsia="ru-RU"/>
              </w:rPr>
            </w:r>
          </w:p>
        </w:tc>
      </w:tr>
      <w:tr>
        <w:trPr>
          <w:trHeight w:val="114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bl>
    <w:p>
      <w:pPr>
        <w:sectPr>
          <w:type w:val="nextPage"/>
          <w:pgSz w:orient="landscape" w:w="16838" w:h="11906"/>
          <w:pgMar w:left="1134" w:right="1134" w:header="0" w:top="1701" w:footer="0" w:bottom="850" w:gutter="0"/>
          <w:pgNumType w:fmt="decimal"/>
          <w:formProt w:val="false"/>
          <w:textDirection w:val="lrTb"/>
          <w:docGrid w:type="default" w:linePitch="360" w:charSpace="12288"/>
        </w:sectPr>
      </w:pPr>
    </w:p>
    <w:p>
      <w:pPr>
        <w:pStyle w:val="Normal"/>
        <w:numPr>
          <w:ilvl w:val="0"/>
          <w:numId w:val="0"/>
        </w:numPr>
        <w:spacing w:lineRule="auto" w:line="240" w:before="0" w:after="0"/>
        <w:ind w:left="0" w:hanging="0"/>
        <w:jc w:val="center"/>
        <w:outlineLvl w:val="1"/>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СВЕДЕНИЯ ОБ ОГРАНИЧЕНИИ И ЗАПРЕТЕ УЧАСТИЯ В ЗАКУПКЕ</w:t>
      </w:r>
    </w:p>
    <w:tbl>
      <w:tblPr>
        <w:tblW w:w="10715" w:type="dxa"/>
        <w:jc w:val="left"/>
        <w:tblInd w:w="-744" w:type="dxa"/>
        <w:tblLayout w:type="fixed"/>
        <w:tblCellMar>
          <w:top w:w="0" w:type="dxa"/>
          <w:left w:w="108" w:type="dxa"/>
          <w:bottom w:w="0" w:type="dxa"/>
          <w:right w:w="108" w:type="dxa"/>
        </w:tblCellMar>
        <w:tblLook w:firstRow="1" w:noVBand="0" w:lastRow="0" w:firstColumn="0" w:lastColumn="0" w:noHBand="0" w:val="0020"/>
      </w:tblPr>
      <w:tblGrid>
        <w:gridCol w:w="675"/>
        <w:gridCol w:w="5416"/>
        <w:gridCol w:w="4624"/>
      </w:tblGrid>
      <w:tr>
        <w:trPr>
          <w:tblHeader w:val="true"/>
          <w:trHeight w:val="760" w:hRule="atLeast"/>
        </w:trPr>
        <w:tc>
          <w:tcPr>
            <w:tcW w:w="67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w:t>
            </w:r>
          </w:p>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uto" w:line="240" w:before="0" w:after="6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541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установлено</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uto" w:line="240" w:before="0" w:after="6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541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установлено</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uto" w:line="240" w:before="0" w:after="6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541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установлено</w:t>
            </w:r>
          </w:p>
          <w:p>
            <w:pPr>
              <w:pStyle w:val="Normal"/>
              <w:widowControl w:val="false"/>
              <w:spacing w:lineRule="auto" w:line="240" w:before="0" w:after="0"/>
              <w:ind w:firstLine="567"/>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tc>
      </w:tr>
    </w:tbl>
    <w:p>
      <w:pPr>
        <w:pStyle w:val="Normal"/>
        <w:numPr>
          <w:ilvl w:val="0"/>
          <w:numId w:val="0"/>
        </w:numPr>
        <w:spacing w:lineRule="auto" w:line="240" w:before="0" w:after="0"/>
        <w:ind w:left="0" w:hanging="0"/>
        <w:jc w:val="center"/>
        <w:outlineLvl w:val="1"/>
        <w:rPr>
          <w:rFonts w:ascii="Times New Roman" w:hAnsi="Times New Roman"/>
        </w:rPr>
      </w:pPr>
      <w:r>
        <w:br w:type="page"/>
      </w:r>
      <w:bookmarkStart w:id="9" w:name="_Ref166312503"/>
      <w:bookmarkStart w:id="10" w:name="_Ref166313061"/>
      <w:bookmarkEnd w:id="9"/>
      <w:bookmarkEnd w:id="10"/>
      <w:r>
        <w:rPr>
          <w:rFonts w:eastAsia="Times New Roman" w:cs="Times New Roman" w:ascii="Times New Roman" w:hAnsi="Times New Roman"/>
          <w:sz w:val="24"/>
          <w:szCs w:val="24"/>
          <w:lang w:eastAsia="ru-RU"/>
        </w:rPr>
        <w:t xml:space="preserve"> </w:t>
      </w: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sz w:val="24"/>
          <w:szCs w:val="24"/>
          <w:lang w:eastAsia="ru-RU"/>
        </w:rPr>
        <w:t>УСЛОВИЯ ФИНАНСОВОГО ОБЕСПЕЧЕНИЯ</w:t>
      </w:r>
    </w:p>
    <w:p>
      <w:pPr>
        <w:pStyle w:val="Normal"/>
        <w:tabs>
          <w:tab w:val="clear" w:pos="708"/>
          <w:tab w:val="left" w:pos="1712" w:leader="none"/>
        </w:tabs>
        <w:spacing w:lineRule="auto" w:line="240" w:before="0" w:after="0"/>
        <w:rPr>
          <w:rFonts w:ascii="Times New Roman" w:hAnsi="Times New Roman"/>
        </w:rPr>
      </w:pPr>
      <w:r>
        <w:rPr>
          <w:rFonts w:eastAsia="Times New Roman" w:cs="Times New Roman" w:ascii="Times New Roman" w:hAnsi="Times New Roman"/>
          <w:sz w:val="24"/>
          <w:szCs w:val="24"/>
          <w:lang w:eastAsia="ru-RU"/>
        </w:rPr>
        <w:tab/>
      </w:r>
    </w:p>
    <w:tbl>
      <w:tblPr>
        <w:tblW w:w="10349" w:type="dxa"/>
        <w:jc w:val="left"/>
        <w:tblInd w:w="-744" w:type="dxa"/>
        <w:tblLayout w:type="fixed"/>
        <w:tblCellMar>
          <w:top w:w="0" w:type="dxa"/>
          <w:left w:w="108" w:type="dxa"/>
          <w:bottom w:w="0" w:type="dxa"/>
          <w:right w:w="108" w:type="dxa"/>
        </w:tblCellMar>
        <w:tblLook w:firstRow="1" w:noVBand="0" w:lastRow="0" w:firstColumn="0" w:lastColumn="0" w:noHBand="0" w:val="0020"/>
      </w:tblPr>
      <w:tblGrid>
        <w:gridCol w:w="667"/>
        <w:gridCol w:w="2453"/>
        <w:gridCol w:w="7229"/>
      </w:tblGrid>
      <w:tr>
        <w:trPr>
          <w:tblHeader w:val="true"/>
        </w:trPr>
        <w:tc>
          <w:tcPr>
            <w:tcW w:w="66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w:t>
            </w:r>
          </w:p>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6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keepLines/>
              <w:widowControl w:val="false"/>
              <w:suppressLineNumbers/>
              <w:spacing w:lineRule="auto" w:line="240" w:before="0" w:after="0"/>
              <w:ind w:firstLine="6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Не установлено</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pPr>
              <w:pStyle w:val="Normal"/>
              <w:keepLines/>
              <w:widowControl w:val="false"/>
              <w:suppressLineNumbers/>
              <w:spacing w:lineRule="auto" w:line="240" w:before="0" w:after="0"/>
              <w:contextualSpacing/>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45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заявки на участие в электронном аукционе может предоставляться участником закупки в виде денежных средств или независимой гарантии, выданной банком и соответствующей требованиям статьи 45 настоящего Федерального закона.</w:t>
            </w:r>
          </w:p>
          <w:p>
            <w:pPr>
              <w:pStyle w:val="Normal"/>
              <w:widowControl w:val="false"/>
              <w:spacing w:lineRule="auto" w:line="240" w:before="0" w:after="0"/>
              <w:ind w:firstLine="45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Выбор способа обеспечения заявки на участие в электронном аукционе осуществляется участником закупки.</w:t>
            </w:r>
          </w:p>
          <w:p>
            <w:pPr>
              <w:pStyle w:val="Normal"/>
              <w:widowControl w:val="false"/>
              <w:spacing w:lineRule="auto" w:line="240" w:before="0" w:after="0"/>
              <w:ind w:firstLine="45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bookmarkStart w:id="11" w:name="_Ref166315233"/>
            <w:bookmarkStart w:id="12" w:name="_Ref166315600"/>
            <w:bookmarkStart w:id="13" w:name="_Ref166337491"/>
            <w:bookmarkStart w:id="14" w:name="_Ref166315233"/>
            <w:bookmarkStart w:id="15" w:name="_Ref166315600"/>
            <w:bookmarkStart w:id="16" w:name="_Ref166337491"/>
            <w:bookmarkEnd w:id="14"/>
            <w:bookmarkEnd w:id="15"/>
            <w:bookmarkEnd w:id="16"/>
          </w:p>
        </w:tc>
        <w:tc>
          <w:tcPr>
            <w:tcW w:w="2453" w:type="dxa"/>
            <w:tcBorders>
              <w:top w:val="single" w:sz="4" w:space="0" w:color="000000"/>
              <w:left w:val="single" w:sz="4" w:space="0" w:color="000000"/>
              <w:bottom w:val="single" w:sz="4" w:space="0" w:color="000000"/>
              <w:right w:val="single" w:sz="4" w:space="0" w:color="000000"/>
            </w:tcBorders>
          </w:tcPr>
          <w:p>
            <w:pPr>
              <w:pStyle w:val="Normal"/>
              <w:keepLines/>
              <w:widowControl w:val="false"/>
              <w:suppressLineNumbers/>
              <w:spacing w:lineRule="auto" w:line="240" w:before="0" w:after="0"/>
              <w:ind w:firstLine="6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8"/>
              <w:jc w:val="both"/>
              <w:rPr>
                <w:rFonts w:ascii="Times New Roman" w:hAnsi="Times New Roman" w:eastAsia="Times New Roman" w:cs="Times New Roman"/>
                <w:b/>
                <w:b/>
                <w:sz w:val="24"/>
                <w:szCs w:val="24"/>
                <w:highlight w:val="yellow"/>
                <w:lang w:eastAsia="ru-RU"/>
              </w:rPr>
            </w:pPr>
            <w:r>
              <w:rPr>
                <w:rFonts w:eastAsia="Times New Roman" w:cs="Times New Roman" w:ascii="Times New Roman" w:hAnsi="Times New Roman"/>
                <w:b/>
                <w:sz w:val="24"/>
                <w:szCs w:val="24"/>
                <w:lang w:eastAsia="ru-RU"/>
              </w:rPr>
              <w:t>10% от начальной (максимальной) цены контракта, что составляет 1 173 608,00 рублей (один миллион сто семьдесят три тысячи шестьсот восемь рублей 0</w:t>
            </w:r>
            <w:r>
              <w:rPr>
                <w:rFonts w:eastAsia="Times New Roman" w:cs="Times New Roman" w:ascii="Times New Roman" w:hAnsi="Times New Roman"/>
                <w:b/>
                <w:color w:val="000000"/>
                <w:sz w:val="24"/>
                <w:szCs w:val="24"/>
                <w:lang w:eastAsia="ru-RU"/>
              </w:rPr>
              <w:t>0</w:t>
            </w:r>
            <w:r>
              <w:rPr>
                <w:rFonts w:eastAsia="Times New Roman" w:cs="Times New Roman" w:ascii="Times New Roman" w:hAnsi="Times New Roman"/>
                <w:b/>
                <w:sz w:val="24"/>
                <w:szCs w:val="24"/>
                <w:lang w:eastAsia="ru-RU"/>
              </w:rPr>
              <w:t xml:space="preserve"> копеек).</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2.1.</w:t>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Исполнение контракта может обеспечиваться предоставлением независимой гарантии, выданной банком и соответствующей требованиям статьи 45 Федерального закона № 44-ФЗ.</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 обеспечения исполнения контракта определяется участником электронного аукциона, с которым заключается контракт, самостоятельно.</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eastAsia="Calibri" w:cs="Times New Roman" w:ascii="Times New Roman" w:hAnsi="Times New Roman"/>
                <w:i/>
                <w:iCs/>
                <w:sz w:val="24"/>
                <w:szCs w:val="24"/>
              </w:rPr>
              <w:t xml:space="preserve">Получатель: </w:t>
            </w:r>
            <w:r>
              <w:rPr>
                <w:rFonts w:eastAsia="Calibri" w:cs="Times New Roman" w:ascii="Times New Roman" w:hAnsi="Times New Roman"/>
                <w:b/>
                <w:bCs/>
                <w:sz w:val="24"/>
                <w:szCs w:val="24"/>
              </w:rPr>
              <w:t>АДМИНИСТРАЦИЯ ГОРОДА АРМЯНСКА РЕСПУБЛИКИ КРЫМ</w:t>
            </w:r>
          </w:p>
          <w:p>
            <w:pPr>
              <w:pStyle w:val="Normal"/>
              <w:widowControl w:val="false"/>
              <w:spacing w:lineRule="auto" w:line="240" w:before="0" w:after="0"/>
              <w:rPr>
                <w:rFonts w:ascii="Times New Roman" w:hAnsi="Times New Roman" w:cs="Times New Roman"/>
                <w:sz w:val="24"/>
                <w:szCs w:val="24"/>
                <w:lang w:eastAsia="ru-RU"/>
              </w:rPr>
            </w:pPr>
            <w:r>
              <w:rPr>
                <w:rFonts w:eastAsia="Calibri" w:cs="Times New Roman" w:ascii="Times New Roman" w:hAnsi="Times New Roman"/>
                <w:i/>
                <w:iCs/>
                <w:sz w:val="24"/>
                <w:szCs w:val="24"/>
                <w:lang w:eastAsia="ru-RU"/>
              </w:rPr>
              <w:t xml:space="preserve">Наименование банка: </w:t>
            </w:r>
            <w:r>
              <w:rPr>
                <w:rFonts w:eastAsia="Times New Roman" w:cs="Times New Roman" w:ascii="Times New Roman" w:hAnsi="Times New Roman"/>
                <w:sz w:val="24"/>
                <w:szCs w:val="24"/>
                <w:lang w:eastAsia="ru-RU"/>
              </w:rPr>
              <w:t>БИК 013510002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БАНК: ОТДЕЛЕНИЕ РЕСПУБЛИКА КРЫМ БАНКА РОССИИ //УФК по Республике Крым г.Симферополь</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р/с 03232643357060007500</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к/с 40102810645370000035</w:t>
            </w:r>
          </w:p>
          <w:p>
            <w:pPr>
              <w:pStyle w:val="Normal"/>
              <w:keepNext w:val="true"/>
              <w:keepLines/>
              <w:widowControl w:val="false"/>
              <w:numPr>
                <w:ilvl w:val="0"/>
                <w:numId w:val="0"/>
              </w:numPr>
              <w:tabs>
                <w:tab w:val="left" w:pos="708" w:leader="none"/>
              </w:tabs>
              <w:spacing w:lineRule="auto" w:line="240" w:before="0" w:after="0"/>
              <w:ind w:left="0" w:hanging="0"/>
              <w:outlineLvl w:val="2"/>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ИНН 9106002685</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КПП 910601001</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Срок и порядок предоставления обеспечения исполнения контракта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Условия независимой гарантии: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Независимая гарантия должна быть безотзывной и должна содержать:</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обязательства принципала, надлежащее исполнение которых обеспечивается независимой гарантией;</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срок действия независимой гарантии с учетом требований статьи 44 и 96 Федерального закона от 05.04.2013 №44-ФЗ;</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contextualSpacing/>
              <w:jc w:val="both"/>
              <w:rPr>
                <w:rFonts w:ascii="Times New Roman" w:hAnsi="Times New Roman" w:eastAsia="Times New Roman" w:cs="Times New Roman"/>
                <w:sz w:val="24"/>
                <w:szCs w:val="20"/>
                <w:lang w:eastAsia="ar-SA"/>
              </w:rPr>
            </w:pPr>
            <w:r>
              <w:rPr>
                <w:rFonts w:eastAsia="Times New Roman" w:cs="Times New Roman" w:ascii="Times New Roman" w:hAnsi="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3"/>
              <w:contextualSpacing/>
              <w:jc w:val="both"/>
              <w:rPr>
                <w:rFonts w:ascii="Times New Roman" w:hAnsi="Times New Roman" w:eastAsia="Times New Roman" w:cs="Times New Roman"/>
                <w:b/>
                <w:b/>
                <w:sz w:val="24"/>
                <w:szCs w:val="24"/>
                <w:highlight w:val="yellow"/>
                <w:lang w:eastAsia="ru-RU"/>
              </w:rPr>
            </w:pPr>
            <w:r>
              <w:rPr>
                <w:rFonts w:eastAsia="Times New Roman" w:cs="Times New Roman" w:ascii="Times New Roman" w:hAnsi="Times New Roman"/>
                <w:b/>
                <w:sz w:val="24"/>
                <w:szCs w:val="24"/>
                <w:lang w:eastAsia="ru-RU"/>
              </w:rPr>
              <w:t>10% от начальной (максимальной) цены контракта, что составляет 1 173 608,00 рублей (один миллион сто семьдесят три тысячи шестьсот восемь рублей 00 копеек).</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contextualSpacing/>
              <w:rPr>
                <w:rFonts w:ascii="Times New Roman" w:hAnsi="Times New Roman" w:eastAsia="Times New Roman" w:cs="Times New Roman"/>
                <w:sz w:val="24"/>
                <w:szCs w:val="20"/>
                <w:lang w:eastAsia="ar-SA"/>
              </w:rPr>
            </w:pPr>
            <w:r>
              <w:rPr>
                <w:rFonts w:eastAsia="Times New Roman" w:cs="Times New Roman" w:ascii="Times New Roman" w:hAnsi="Times New Roman"/>
                <w:sz w:val="24"/>
                <w:szCs w:val="20"/>
                <w:lang w:eastAsia="ar-SA"/>
              </w:rPr>
              <w:t>Способы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pPr>
              <w:pStyle w:val="Normal"/>
              <w:widowControl w:val="false"/>
              <w:spacing w:lineRule="auto" w:line="240" w:before="0" w:after="0"/>
              <w:ind w:firstLine="33"/>
              <w:contextualSpacing/>
              <w:jc w:val="both"/>
              <w:rPr>
                <w:rFonts w:ascii="Times New Roman" w:hAnsi="Times New Roman" w:eastAsia="Times New Roman"/>
                <w:sz w:val="24"/>
              </w:rPr>
            </w:pPr>
            <w:r>
              <w:rPr>
                <w:rFonts w:eastAsia="Times New Roman" w:cs="Arial" w:ascii="Times New Roman" w:hAnsi="Times New Roman"/>
                <w:sz w:val="24"/>
                <w:szCs w:val="20"/>
                <w:lang w:eastAsia="ar-SA"/>
              </w:rPr>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или внесением денежных средст</w:t>
            </w:r>
            <w:r>
              <w:rPr>
                <w:rFonts w:eastAsia="Times New Roman" w:cs="Times New Roman" w:ascii="Times New Roman" w:hAnsi="Times New Roman"/>
                <w:sz w:val="24"/>
                <w:szCs w:val="24"/>
                <w:lang w:eastAsia="ar-SA"/>
              </w:rPr>
              <w:t>в</w:t>
            </w:r>
            <w:r>
              <w:rPr>
                <w:rFonts w:eastAsia="Times New Roman" w:cs="Times New Roman" w:ascii="Times New Roman" w:hAnsi="Times New Roman"/>
                <w:sz w:val="24"/>
                <w:szCs w:val="24"/>
                <w:lang w:eastAsia="ru-RU"/>
              </w:rPr>
              <w:t xml:space="preserve"> насчет указанный в подпункте 2.10. настоящего подраздела</w:t>
            </w:r>
            <w:r>
              <w:rPr>
                <w:rFonts w:eastAsia="Times New Roman" w:cs="Times New Roman" w:ascii="Times New Roman" w:hAnsi="Times New Roman"/>
                <w:sz w:val="24"/>
                <w:szCs w:val="24"/>
                <w:lang w:eastAsia="ar-SA"/>
              </w:rPr>
              <w:t>.</w:t>
            </w:r>
          </w:p>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Способ обеспечения гарантийных обязательств определяются участником закупки самостоятельно.</w:t>
            </w:r>
          </w:p>
          <w:p>
            <w:pPr>
              <w:pStyle w:val="Normal"/>
              <w:keepNext w:val="true"/>
              <w:widowControl w:val="false"/>
              <w:numPr>
                <w:ilvl w:val="0"/>
                <w:numId w:val="0"/>
              </w:numPr>
              <w:spacing w:lineRule="auto" w:line="240" w:before="0" w:after="0"/>
              <w:ind w:left="0" w:firstLine="459"/>
              <w:jc w:val="both"/>
              <w:outlineLvl w:val="2"/>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Положения Федерального закона № 44-ФЗ об обеспечении гарантийных обязательств не применяются в случае:</w:t>
            </w:r>
          </w:p>
          <w:p>
            <w:pPr>
              <w:pStyle w:val="Normal"/>
              <w:keepNext w:val="true"/>
              <w:widowControl w:val="false"/>
              <w:numPr>
                <w:ilvl w:val="0"/>
                <w:numId w:val="0"/>
              </w:numPr>
              <w:spacing w:lineRule="auto" w:line="240" w:before="0" w:after="0"/>
              <w:ind w:left="0" w:firstLine="459"/>
              <w:jc w:val="both"/>
              <w:outlineLvl w:val="2"/>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1) заключения контракта с участником закупки, который является казенным учреждением;</w:t>
            </w:r>
          </w:p>
          <w:p>
            <w:pPr>
              <w:pStyle w:val="Normal"/>
              <w:keepNext w:val="true"/>
              <w:widowControl w:val="false"/>
              <w:numPr>
                <w:ilvl w:val="0"/>
                <w:numId w:val="0"/>
              </w:numPr>
              <w:spacing w:lineRule="auto" w:line="240" w:before="0" w:after="0"/>
              <w:ind w:left="0" w:firstLine="459"/>
              <w:jc w:val="both"/>
              <w:outlineLvl w:val="2"/>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2) осуществления закупки услуги по предоставлению кредита;</w:t>
            </w:r>
          </w:p>
          <w:p>
            <w:pPr>
              <w:pStyle w:val="Normal"/>
              <w:keepNext w:val="true"/>
              <w:widowControl w:val="false"/>
              <w:numPr>
                <w:ilvl w:val="0"/>
                <w:numId w:val="0"/>
              </w:numPr>
              <w:spacing w:lineRule="auto" w:line="240" w:before="0" w:after="0"/>
              <w:ind w:left="0" w:firstLine="459"/>
              <w:jc w:val="both"/>
              <w:outlineLvl w:val="2"/>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contextualSpacing/>
              <w:rPr>
                <w:rFonts w:ascii="Times New Roman" w:hAnsi="Times New Roman" w:eastAsia="Times New Roman" w:cs="Times New Roman"/>
                <w:sz w:val="24"/>
                <w:szCs w:val="20"/>
                <w:lang w:eastAsia="ar-SA"/>
              </w:rPr>
            </w:pPr>
            <w:r>
              <w:rPr>
                <w:rFonts w:eastAsia="Times New Roman" w:cs="Times New Roman" w:ascii="Times New Roman" w:hAnsi="Times New Roman"/>
                <w:sz w:val="24"/>
                <w:szCs w:val="20"/>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V. «Проект контракта» настоящей документации).</w:t>
            </w:r>
          </w:p>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Денежные средства возвращаются по реквизитам, указанным Подрядчиком (подрядчиком, исполнителем) в муниципальном  контракте</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contextualSpacing/>
              <w:rPr>
                <w:rFonts w:ascii="Times New Roman" w:hAnsi="Times New Roman" w:eastAsia="Times New Roman" w:cs="Times New Roman"/>
                <w:sz w:val="24"/>
                <w:szCs w:val="20"/>
                <w:lang w:eastAsia="ar-SA"/>
              </w:rPr>
            </w:pPr>
            <w:r>
              <w:rPr>
                <w:rFonts w:eastAsia="Times New Roman" w:cs="Times New Roman" w:ascii="Times New Roman" w:hAnsi="Times New Roman"/>
                <w:sz w:val="24"/>
                <w:szCs w:val="20"/>
                <w:lang w:eastAsia="ar-SA"/>
              </w:rPr>
              <w:t>Срок и порядок предоставления обеспечения гарантийных обязательств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35"/>
              <w:jc w:val="both"/>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shd w:fill="auto" w:val="clear"/>
              </w:rPr>
            </w:pPr>
            <w:r>
              <w:rPr>
                <w:rFonts w:eastAsia="Calibri" w:cs="Times New Roman" w:eastAsiaTheme="minorHAnsi" w:ascii="Times New Roman" w:hAnsi="Times New Roman"/>
                <w:i/>
                <w:iCs/>
                <w:sz w:val="24"/>
                <w:szCs w:val="24"/>
                <w:shd w:fill="auto" w:val="clear"/>
              </w:rPr>
              <w:t xml:space="preserve">Получатель: </w:t>
            </w:r>
            <w:r>
              <w:rPr>
                <w:rFonts w:eastAsia="Calibri" w:cs="Times New Roman" w:eastAsiaTheme="minorHAnsi" w:ascii="Times New Roman" w:hAnsi="Times New Roman"/>
                <w:b/>
                <w:bCs/>
                <w:sz w:val="24"/>
                <w:szCs w:val="24"/>
                <w:shd w:fill="auto" w:val="clear"/>
              </w:rPr>
              <w:t>АДМИНИСТРАЦИЯ ГОРОДА АРМЯНСКА РЕСПУБЛИКИ КРЫМ</w:t>
            </w:r>
          </w:p>
          <w:p>
            <w:pPr>
              <w:pStyle w:val="Normal"/>
              <w:widowControl w:val="false"/>
              <w:spacing w:lineRule="auto" w:line="240" w:before="0" w:after="0"/>
              <w:rPr>
                <w:rFonts w:ascii="Times New Roman" w:hAnsi="Times New Roman" w:cs="Times New Roman"/>
                <w:sz w:val="24"/>
                <w:szCs w:val="24"/>
                <w:shd w:fill="auto" w:val="clear"/>
                <w:lang w:eastAsia="ru-RU"/>
              </w:rPr>
            </w:pPr>
            <w:r>
              <w:rPr>
                <w:rFonts w:eastAsia="Calibri" w:cs="Times New Roman" w:eastAsiaTheme="minorHAnsi" w:ascii="Times New Roman" w:hAnsi="Times New Roman"/>
                <w:i/>
                <w:iCs/>
                <w:sz w:val="24"/>
                <w:szCs w:val="24"/>
                <w:shd w:fill="auto" w:val="clear"/>
                <w:lang w:eastAsia="ru-RU"/>
              </w:rPr>
              <w:t xml:space="preserve">Наименование банка: </w:t>
            </w:r>
            <w:r>
              <w:rPr>
                <w:rFonts w:eastAsia="Times New Roman" w:cs="Times New Roman" w:ascii="Times New Roman" w:hAnsi="Times New Roman"/>
                <w:sz w:val="24"/>
                <w:szCs w:val="24"/>
                <w:shd w:fill="auto" w:val="clear"/>
                <w:lang w:eastAsia="ru-RU"/>
              </w:rPr>
              <w:t>БИК 013510002</w:t>
            </w:r>
          </w:p>
          <w:p>
            <w:pPr>
              <w:pStyle w:val="Normal"/>
              <w:widowControl w:val="false"/>
              <w:spacing w:lineRule="auto" w:line="240" w:before="0" w:after="0"/>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БАНК: ОТДЕЛЕНИЕ РЕСПУБЛИКА КРЫМ БАНКА РОССИИ //УФК по Республике Крым г.Симферополь</w:t>
            </w:r>
          </w:p>
          <w:p>
            <w:pPr>
              <w:pStyle w:val="Normal"/>
              <w:widowControl w:val="false"/>
              <w:spacing w:lineRule="auto" w:line="240" w:before="0" w:after="0"/>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р/с 03232643357060007500</w:t>
            </w:r>
          </w:p>
          <w:p>
            <w:pPr>
              <w:pStyle w:val="Normal"/>
              <w:widowControl w:val="false"/>
              <w:spacing w:lineRule="auto" w:line="240" w:before="0" w:after="0"/>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к/с 40102810645370000035</w:t>
            </w:r>
          </w:p>
          <w:p>
            <w:pPr>
              <w:pStyle w:val="Normal"/>
              <w:keepNext w:val="true"/>
              <w:keepLines/>
              <w:widowControl w:val="false"/>
              <w:numPr>
                <w:ilvl w:val="0"/>
                <w:numId w:val="0"/>
              </w:numPr>
              <w:tabs>
                <w:tab w:val="left" w:pos="708" w:leader="none"/>
              </w:tabs>
              <w:spacing w:lineRule="auto" w:line="240" w:before="0" w:after="0"/>
              <w:ind w:left="0" w:hanging="0"/>
              <w:outlineLvl w:val="2"/>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ФИНАНСОВОЕ УПРАВЛЕНИЕ АДМИНИСТРАЦИИ ГОРОДА АРМЯНСКА (Администрация города Армянска Республики Крым л/с 05753251010)</w:t>
            </w:r>
          </w:p>
          <w:p>
            <w:pPr>
              <w:pStyle w:val="Normal"/>
              <w:widowControl w:val="false"/>
              <w:spacing w:lineRule="auto" w:line="240" w:before="0" w:after="0"/>
              <w:rPr>
                <w:rFonts w:ascii="Times New Roman" w:hAnsi="Times New Roman" w:eastAsia="Calibri" w:cs="Times New Roman" w:eastAsiaTheme="minorHAnsi"/>
                <w:sz w:val="24"/>
                <w:szCs w:val="24"/>
                <w:shd w:fill="auto" w:val="clear"/>
                <w:lang w:eastAsia="ru-RU"/>
              </w:rPr>
            </w:pPr>
            <w:r>
              <w:rPr>
                <w:rFonts w:eastAsia="Calibri" w:cs="Times New Roman" w:eastAsiaTheme="minorHAnsi" w:ascii="Times New Roman" w:hAnsi="Times New Roman"/>
                <w:sz w:val="24"/>
                <w:szCs w:val="24"/>
                <w:shd w:fill="auto" w:val="clear"/>
                <w:lang w:eastAsia="ru-RU"/>
              </w:rPr>
              <w:t>ИНН 9106002685</w:t>
            </w:r>
          </w:p>
          <w:p>
            <w:pPr>
              <w:pStyle w:val="Normal"/>
              <w:widowControl w:val="false"/>
              <w:spacing w:lineRule="auto" w:line="240" w:before="0" w:after="0"/>
              <w:rPr>
                <w:rFonts w:ascii="Times New Roman" w:hAnsi="Times New Roman" w:eastAsia="Calibri" w:cs="Times New Roman" w:eastAsiaTheme="minorHAnsi"/>
                <w:sz w:val="24"/>
                <w:szCs w:val="24"/>
                <w:shd w:fill="auto" w:val="clear"/>
                <w:lang w:eastAsia="ru-RU"/>
              </w:rPr>
            </w:pPr>
            <w:r>
              <w:rPr>
                <w:rFonts w:eastAsia="Calibri" w:cs="Times New Roman" w:eastAsiaTheme="minorHAnsi" w:ascii="Times New Roman" w:hAnsi="Times New Roman"/>
                <w:sz w:val="24"/>
                <w:szCs w:val="24"/>
                <w:shd w:fill="auto" w:val="clear"/>
                <w:lang w:eastAsia="ru-RU"/>
              </w:rPr>
              <w:t>КПП 910601001</w:t>
            </w:r>
          </w:p>
          <w:p>
            <w:pPr>
              <w:pStyle w:val="Normal"/>
              <w:widowControl w:val="false"/>
              <w:spacing w:lineRule="auto" w:line="240" w:before="0" w:after="0"/>
              <w:jc w:val="both"/>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Антидемпинговые меры</w:t>
            </w:r>
          </w:p>
          <w:p>
            <w:pPr>
              <w:pStyle w:val="Normal"/>
              <w:widowControl w:val="false"/>
              <w:suppressLineNumbers/>
              <w:spacing w:lineRule="auto" w:line="240" w:before="0" w:after="0"/>
              <w:jc w:val="both"/>
              <w:rPr>
                <w:rFonts w:ascii="Times New Roman" w:hAnsi="Times New Roman" w:eastAsia="Times New Roman" w:cs="Times New Roman"/>
                <w:i/>
                <w:i/>
                <w:sz w:val="24"/>
                <w:szCs w:val="24"/>
                <w:lang w:eastAsia="ar-SA"/>
              </w:rPr>
            </w:pPr>
            <w:r>
              <w:rPr>
                <w:rFonts w:eastAsia="Times New Roman" w:cs="Times New Roman" w:ascii="Times New Roman" w:hAnsi="Times New Roman"/>
                <w:i/>
                <w:sz w:val="24"/>
                <w:szCs w:val="24"/>
                <w:lang w:eastAsia="ar-SA"/>
              </w:rPr>
              <w:t>в соответствии со статьей 37 Федерального закона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20"/>
              <w:jc w:val="both"/>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Если при проведении закупки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6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Основания для отказа в принятии независимой гарантии заказчиком</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отсутствие информации о независимой гарантии в предусмотренном статьей 45 Федерального закона № 44-ФЗ реестре независимых гарантий;</w:t>
            </w:r>
          </w:p>
          <w:p>
            <w:pPr>
              <w:pStyle w:val="Normal"/>
              <w:widowControl w:val="false"/>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несоответствие независимой гарантии условиям, указанным в частях 2 и 3 статьи 45 Федерального закона № 44-ФЗ;</w:t>
            </w:r>
          </w:p>
          <w:p>
            <w:pPr>
              <w:pStyle w:val="Normal"/>
              <w:widowControl w:val="false"/>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несоответствие независимой гарантии требованиям, содержащимся в извещении об осуществлении закупки и документации о закупке.</w:t>
            </w:r>
          </w:p>
        </w:tc>
      </w:tr>
    </w:tbl>
    <w:p>
      <w:pPr>
        <w:sectPr>
          <w:type w:val="nextPage"/>
          <w:pgSz w:w="11906" w:h="16838"/>
          <w:pgMar w:left="1701" w:right="850" w:header="0" w:top="1134" w:footer="0" w:bottom="1134" w:gutter="0"/>
          <w:pgNumType w:fmt="decimal"/>
          <w:formProt w:val="false"/>
          <w:textDirection w:val="lrTb"/>
          <w:docGrid w:type="default" w:linePitch="360" w:charSpace="12288"/>
        </w:sectPr>
      </w:pPr>
    </w:p>
    <w:p>
      <w:pPr>
        <w:pStyle w:val="Normal"/>
        <w:spacing w:lineRule="auto" w:line="240" w:before="0" w:after="0"/>
        <w:jc w:val="center"/>
        <w:rPr>
          <w:rFonts w:ascii="Times New Roman" w:hAnsi="Times New Roman"/>
        </w:rPr>
      </w:pPr>
      <w:r>
        <w:rPr>
          <w:rFonts w:eastAsia="Times New Roman" w:cs="Times New Roman" w:ascii="Times New Roman" w:hAnsi="Times New Roman"/>
          <w:b/>
          <w:bCs/>
          <w:sz w:val="24"/>
          <w:szCs w:val="24"/>
          <w:lang w:eastAsia="ru-RU"/>
        </w:rPr>
        <w:t>II. ОПИСАНИЕ ОБЪЕКТА ЗАКУПКИ (ТЕХНИЧЕСКОЕ ЗАДАНИЕ)</w:t>
      </w:r>
    </w:p>
    <w:p>
      <w:pPr>
        <w:pStyle w:val="Normal"/>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 </w:t>
      </w:r>
      <w:r>
        <w:rPr>
          <w:rFonts w:eastAsia="Times New Roman" w:cs="Times New Roman" w:ascii="Times New Roman" w:hAnsi="Times New Roman"/>
          <w:color w:val="000000"/>
          <w:sz w:val="24"/>
          <w:szCs w:val="24"/>
          <w:lang w:eastAsia="ru-RU"/>
        </w:rPr>
        <w:t xml:space="preserve">выполнение работ по объекту «Капитальный ремонт </w:t>
      </w:r>
      <w:r>
        <w:rPr>
          <w:rFonts w:eastAsia="Times New Roman" w:cs="Times New Roman" w:ascii="Times New Roman" w:hAnsi="Times New Roman"/>
          <w:sz w:val="24"/>
          <w:szCs w:val="24"/>
          <w:lang w:eastAsia="ru-RU"/>
        </w:rPr>
        <w:t>дворовых и прилегающих к ним территорий к домам 2,8,10 ул.Гайдара города Армянска</w:t>
      </w:r>
      <w:r>
        <w:rPr>
          <w:rFonts w:eastAsia="Times New Roman" w:cs="Times New Roman" w:ascii="Times New Roman" w:hAnsi="Times New Roman"/>
          <w:color w:val="000000"/>
          <w:sz w:val="24"/>
          <w:szCs w:val="24"/>
          <w:lang w:eastAsia="ru-RU"/>
        </w:rPr>
        <w:t>»</w:t>
      </w:r>
    </w:p>
    <w:tbl>
      <w:tblPr>
        <w:tblW w:w="10066" w:type="dxa"/>
        <w:jc w:val="left"/>
        <w:tblInd w:w="5" w:type="dxa"/>
        <w:tblLayout w:type="fixed"/>
        <w:tblCellMar>
          <w:top w:w="0" w:type="dxa"/>
          <w:left w:w="5" w:type="dxa"/>
          <w:bottom w:w="0" w:type="dxa"/>
          <w:right w:w="5" w:type="dxa"/>
        </w:tblCellMar>
        <w:tblLook w:firstRow="1" w:noVBand="1" w:lastRow="0" w:firstColumn="1" w:lastColumn="0" w:noHBand="0" w:val="04a0"/>
      </w:tblPr>
      <w:tblGrid>
        <w:gridCol w:w="741"/>
        <w:gridCol w:w="2520"/>
        <w:gridCol w:w="6805"/>
      </w:tblGrid>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false"/>
              <w:snapToGrid w:val="false"/>
              <w:spacing w:lineRule="auto" w:line="240" w:before="0" w:after="0"/>
              <w:ind w:left="0" w:hanging="360"/>
              <w:contextualSpacing/>
              <w:rPr>
                <w:rFonts w:ascii="Times New Roman" w:hAnsi="Times New Roman" w:eastAsia="Times New Roman" w:cs="Times New Roman"/>
                <w:b/>
                <w:b/>
                <w:sz w:val="24"/>
                <w:szCs w:val="24"/>
              </w:rPr>
            </w:pPr>
            <w:r>
              <w:rPr>
                <w:rFonts w:eastAsia="Times New Roman" w:cs="Times New Roman" w:ascii="Times New Roman" w:hAnsi="Times New Roman"/>
                <w:b/>
              </w:rPr>
              <w:t>1.</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Место выполнения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bCs/>
                <w:sz w:val="24"/>
                <w:szCs w:val="24"/>
              </w:rPr>
            </w:pPr>
            <w:r>
              <w:rPr>
                <w:rFonts w:eastAsia="Times New Roman" w:cs="Times New Roman" w:ascii="Times New Roman" w:hAnsi="Times New Roman"/>
                <w:sz w:val="24"/>
                <w:szCs w:val="24"/>
              </w:rPr>
              <w:t xml:space="preserve">296012 Республика Крым, </w:t>
            </w:r>
            <w:r>
              <w:rPr>
                <w:rFonts w:eastAsia="Times New Roman" w:cs="Times New Roman" w:ascii="Times New Roman" w:hAnsi="Times New Roman"/>
                <w:bCs/>
                <w:sz w:val="24"/>
                <w:szCs w:val="24"/>
              </w:rPr>
              <w:t>г. Армянск, ул. Гайдара</w:t>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false"/>
              <w:snapToGrid w:val="false"/>
              <w:spacing w:lineRule="auto" w:line="240" w:before="0" w:after="0"/>
              <w:ind w:left="0" w:hanging="360"/>
              <w:contextualSpacing/>
              <w:rPr>
                <w:rFonts w:ascii="Times New Roman" w:hAnsi="Times New Roman" w:eastAsia="Times New Roman" w:cs="Times New Roman"/>
                <w:b/>
                <w:b/>
                <w:sz w:val="24"/>
                <w:szCs w:val="24"/>
              </w:rPr>
            </w:pPr>
            <w:r>
              <w:rPr>
                <w:rFonts w:eastAsia="Times New Roman" w:cs="Times New Roman" w:ascii="Times New Roman" w:hAnsi="Times New Roman"/>
                <w:b/>
              </w:rPr>
              <w:t>2.</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Описание объекта и  технического состояния</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lang w:eastAsia="ru-RU"/>
              </w:rPr>
              <w:t xml:space="preserve">Капитальный ремонт  </w:t>
            </w:r>
            <w:r>
              <w:rPr>
                <w:rFonts w:eastAsia="Times New Roman" w:cs="Times New Roman" w:ascii="Times New Roman" w:hAnsi="Times New Roman"/>
                <w:sz w:val="24"/>
                <w:szCs w:val="24"/>
                <w:lang w:eastAsia="ru-RU"/>
              </w:rPr>
              <w:t>дворовых и прилегающих к ним территорий к домам 2,8,10 ул.Гайдара города Армянска</w:t>
            </w:r>
            <w:r>
              <w:rPr>
                <w:rFonts w:eastAsia="Times New Roman" w:cs="Times New Roman" w:ascii="Times New Roman" w:hAnsi="Times New Roman"/>
                <w:sz w:val="24"/>
                <w:szCs w:val="24"/>
              </w:rPr>
              <w:t>, предназначенных для массового досуга всех возрастных групп населения.</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Объект действующий</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Техническо-экономические показатели объекта капитального строительства:</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асфальтобетонное покрытие проездов</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color w:val="FF0000"/>
                <w:sz w:val="24"/>
                <w:szCs w:val="24"/>
              </w:rPr>
            </w:pPr>
            <w:r>
              <w:rPr>
                <w:rFonts w:eastAsia="Times New Roman" w:cs="Times New Roman" w:ascii="Times New Roman" w:hAnsi="Times New Roman"/>
                <w:sz w:val="24"/>
                <w:szCs w:val="24"/>
              </w:rPr>
              <w:t>- покрытие тротуарное;</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парковые светильники  (система паркового освещения);</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скамейки;</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мусорные урны;</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МАФ</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игровое оборудование</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2"/>
              </w:numPr>
              <w:suppressAutoHyphens w:val="false"/>
              <w:snapToGrid w:val="false"/>
              <w:spacing w:lineRule="auto" w:line="240" w:before="0" w:after="0"/>
              <w:ind w:left="0" w:hanging="360"/>
              <w:contextualSpacing/>
              <w:rPr>
                <w:rFonts w:ascii="Times New Roman" w:hAnsi="Times New Roman" w:eastAsia="Times New Roman" w:cs="Times New Roman"/>
                <w:b/>
                <w:b/>
                <w:sz w:val="24"/>
                <w:szCs w:val="24"/>
              </w:rPr>
            </w:pPr>
            <w:r>
              <w:rPr>
                <w:rFonts w:eastAsia="Times New Roman" w:cs="Times New Roman" w:ascii="Times New Roman" w:hAnsi="Times New Roman"/>
                <w:b/>
              </w:rPr>
              <w:t>3.</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Технические требования при выполнении работ</w:t>
            </w:r>
          </w:p>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left="69" w:right="74" w:hanging="0"/>
              <w:jc w:val="both"/>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1. Работы проводить согласно проектно-сметной документации, переданной подрядной организации по Акту приема-передачи </w:t>
            </w:r>
            <w:r>
              <w:rPr>
                <w:rFonts w:eastAsia="Calibri" w:cs="Times New Roman" w:ascii="Times New Roman" w:hAnsi="Times New Roman"/>
                <w:sz w:val="24"/>
                <w:szCs w:val="24"/>
              </w:rPr>
              <w:t>№ 20-036- ГП, № 20-036 - НО</w:t>
            </w:r>
          </w:p>
          <w:p>
            <w:pPr>
              <w:pStyle w:val="Normal"/>
              <w:widowControl w:val="false"/>
              <w:suppressAutoHyphens w:val="false"/>
              <w:spacing w:lineRule="auto" w:line="240" w:before="0" w:after="0"/>
              <w:ind w:left="69" w:right="74" w:hanging="0"/>
              <w:jc w:val="both"/>
              <w:rPr>
                <w:rFonts w:ascii="Times New Roman" w:hAnsi="Times New Roman" w:eastAsia="Calibri" w:cs="Times New Roman"/>
                <w:sz w:val="24"/>
                <w:szCs w:val="24"/>
              </w:rPr>
            </w:pPr>
            <w:r>
              <w:rPr>
                <w:rFonts w:eastAsia="Calibri" w:cs="Times New Roman" w:ascii="Times New Roman" w:hAnsi="Times New Roman"/>
                <w:sz w:val="24"/>
                <w:szCs w:val="24"/>
              </w:rPr>
              <w:t>Сметная документация №20-036 - СМ</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 xml:space="preserve">2. После получения проектной документации (до начала выполнения работ) в течение 5 дней Подрядчик выполняет </w:t>
            </w:r>
            <w:r>
              <w:rPr>
                <w:rFonts w:eastAsia="Times New Roman" w:cs="Times New Roman" w:ascii="Times New Roman" w:hAnsi="Times New Roman"/>
                <w:sz w:val="24"/>
                <w:szCs w:val="24"/>
                <w:lang w:eastAsia="ru-RU"/>
              </w:rPr>
              <w:t xml:space="preserve">подготовку исполнительной геодезической документации по элементам, конструкциям, инженерным сетям и сооружениям  (схемы, чертежи, узлы элементов) </w:t>
            </w:r>
            <w:r>
              <w:rPr>
                <w:rFonts w:eastAsia="Times New Roman" w:cs="Times New Roman" w:ascii="Times New Roman" w:hAnsi="Times New Roman"/>
                <w:sz w:val="24"/>
                <w:szCs w:val="24"/>
              </w:rPr>
              <w:t>и согласовывает с Заказчиком.</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Заказчиком  и несет ответственность за правильность разбивки осей объекта, высот и размеров всех его частей до завершения работ и передачи объекта Заказчику.</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Места складирования материалов Заказчик не предоставляет.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   При выполнении работ необходимо применять современные  материалы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pPr>
              <w:pStyle w:val="Normal"/>
              <w:widowControl w:val="false"/>
              <w:suppressAutoHyphens w:val="false"/>
              <w:spacing w:lineRule="auto" w:line="240" w:before="0" w:after="0"/>
              <w:ind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Все необходимые для производства работ материалы включены в стоимость выполнения работ и предоставляются Подрядчиком.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Запрещается применение бывших в использовании и употреблении материалов и оборудования, в том числе восстановленных и отремонтированных.</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7. Ограждение и освещение мест производства работ должно быть обеспечено Подрядчиком на всех этапах производства работ.</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 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 Подрядчик самостоятельно за свой счет обеспечивает объект энергоносителями,  необходимыми для производства работ в соответствии с условиями Контракта.</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Контроль, проводимый Заказчиком за выполнением этих работ, не освобождает Подрядчика от ответственности за правильность их исполнения.</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18. По окончании капитального ремонта Объекта совместно с Актом </w:t>
            </w:r>
            <w:r>
              <w:rPr>
                <w:rFonts w:eastAsia="MS Mincho" w:cs="Times New Roman" w:ascii="Times New Roman" w:hAnsi="Times New Roman"/>
                <w:sz w:val="24"/>
                <w:szCs w:val="24"/>
              </w:rPr>
              <w:t>приемки законченного строительством объекта по форме КС-11</w:t>
            </w:r>
            <w:r>
              <w:rPr>
                <w:rFonts w:eastAsia="Times New Roman" w:cs="Times New Roman" w:ascii="Times New Roman" w:hAnsi="Times New Roman"/>
                <w:sz w:val="24"/>
                <w:szCs w:val="24"/>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Срок предоставления документов, необходимых для сдачи Объекта может быть изменен по согласованию с Заказчиком.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3"/>
              </w:numPr>
              <w:suppressAutoHyphens w:val="false"/>
              <w:snapToGrid w:val="false"/>
              <w:spacing w:lineRule="auto" w:line="240" w:before="0" w:after="0"/>
              <w:ind w:left="0" w:hanging="36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3" w:tgtFram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r>
                <w:rPr>
                  <w:rFonts w:eastAsia="Times New Roman" w:cs="Times New Roman" w:ascii="Times New Roman" w:hAnsi="Times New Roman"/>
                  <w:sz w:val="24"/>
                  <w:szCs w:val="24"/>
                  <w:u w:val="single"/>
                </w:rPr>
                <w:t>РД-11-02-2006</w:t>
              </w:r>
            </w:hyperlink>
            <w:r>
              <w:rPr>
                <w:rFonts w:eastAsia="Times New Roman" w:cs="Times New Roman" w:ascii="Times New Roman" w:hAnsi="Times New Roman"/>
                <w:sz w:val="24"/>
                <w:szCs w:val="24"/>
              </w:rPr>
              <w:t>:</w:t>
            </w:r>
          </w:p>
          <w:p>
            <w:pPr>
              <w:pStyle w:val="Normal"/>
              <w:widowControl w:val="false"/>
              <w:suppressAutoHyphens w:val="false"/>
              <w:spacing w:lineRule="auto" w:line="240" w:before="0" w:after="0"/>
              <w:ind w:left="69" w:right="74" w:hanging="0"/>
              <w:jc w:val="both"/>
              <w:rPr>
                <w:rFonts w:ascii="Times New Roman" w:hAnsi="Times New Roman" w:eastAsia="TimesNewRoman" w:cs="Times New Roman"/>
                <w:sz w:val="24"/>
                <w:szCs w:val="24"/>
              </w:rPr>
            </w:pPr>
            <w:r>
              <w:rPr>
                <w:rFonts w:eastAsia="MS Mincho" w:cs="Times New Roman" w:ascii="Times New Roman" w:hAnsi="Times New Roman"/>
                <w:sz w:val="24"/>
                <w:szCs w:val="24"/>
              </w:rPr>
              <w:t>- акты  приемки выполненных Работ по унифицированной форме № КС-2, оформленные согласно постановлению Госкомстата России от 11.11.99 г.№100, в 5 (пяти) экземплярах;</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pPr>
              <w:pStyle w:val="Normal"/>
              <w:widowControl w:val="false"/>
              <w:shd w:val="clear" w:color="auto" w:fill="FFFFFF"/>
              <w:suppressAutoHyphens w:val="false"/>
              <w:spacing w:lineRule="auto" w:line="240" w:before="0" w:after="0"/>
              <w:ind w:left="69" w:right="74" w:hanging="0"/>
              <w:rPr>
                <w:rFonts w:ascii="Times New Roman" w:hAnsi="Times New Roman" w:eastAsia="MS Mincho" w:cs="Times New Roman"/>
                <w:sz w:val="24"/>
                <w:szCs w:val="24"/>
              </w:rPr>
            </w:pPr>
            <w:r>
              <w:rPr>
                <w:rFonts w:eastAsia="MS Mincho" w:cs="Times New Roman" w:ascii="Times New Roman" w:hAnsi="Times New Roman"/>
                <w:sz w:val="24"/>
                <w:szCs w:val="24"/>
              </w:rPr>
              <w:t xml:space="preserve">    </w:t>
            </w:r>
            <w:r>
              <w:rPr>
                <w:rFonts w:eastAsia="MS Mincho" w:cs="Times New Roman" w:ascii="Times New Roman" w:hAnsi="Times New Roman"/>
                <w:sz w:val="24"/>
                <w:szCs w:val="24"/>
              </w:rPr>
              <w:t>- акт приемки законченного строительством объекта по форме КС-11, утвержденная в 2-х экземплярах Постановлением Госкомстата России  от  30.10.97 №71а</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исполнительные схемы;</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акты освидетельствования скрытых Работ;</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xml:space="preserve">- заверенные </w:t>
            </w:r>
            <w:r>
              <w:rPr>
                <w:rFonts w:eastAsia="Times New Roman" w:cs="Times New Roman" w:ascii="Times New Roman" w:hAnsi="Times New Roman"/>
                <w:sz w:val="24"/>
                <w:szCs w:val="24"/>
              </w:rPr>
              <w:t>печатью и подписью представителя подрядной организации</w:t>
            </w:r>
            <w:r>
              <w:rPr>
                <w:rFonts w:eastAsia="MS Mincho" w:cs="Times New Roman" w:ascii="Times New Roman" w:hAnsi="Times New Roman"/>
                <w:sz w:val="24"/>
                <w:szCs w:val="24"/>
              </w:rPr>
              <w:t xml:space="preserve"> копии сертификатов, технических паспортов, подтверждающих качество примененных материалов, изделий, конструкций;</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общий журнал работ;</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специальные журналы работ;</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акт смонтированного оборудования, в 3 (трех) экземплярах (при необходимости);</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MS Mincho" w:cs="Times New Roman" w:ascii="Times New Roman" w:hAnsi="Times New Roman"/>
                <w:sz w:val="24"/>
                <w:szCs w:val="24"/>
              </w:rPr>
              <w:t>-</w:t>
            </w:r>
            <w:r>
              <w:rPr>
                <w:rFonts w:eastAsia="Times New Roman" w:cs="Times New Roman" w:ascii="Times New Roman" w:hAnsi="Times New Roman"/>
                <w:sz w:val="24"/>
                <w:szCs w:val="24"/>
              </w:rPr>
              <w:t>фотофиксация всех этапов работ;</w:t>
            </w:r>
          </w:p>
          <w:p>
            <w:pPr>
              <w:pStyle w:val="Normal"/>
              <w:widowControl w:val="false"/>
              <w:tabs>
                <w:tab w:val="clear" w:pos="708"/>
                <w:tab w:val="left" w:pos="459" w:leader="none"/>
              </w:tabs>
              <w:spacing w:lineRule="auto" w:line="240" w:before="0" w:after="0"/>
              <w:ind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pPr>
              <w:pStyle w:val="Normal"/>
              <w:widowControl w:val="false"/>
              <w:tabs>
                <w:tab w:val="clear" w:pos="708"/>
                <w:tab w:val="left" w:pos="901" w:leader="none"/>
              </w:tab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pPr>
              <w:pStyle w:val="Normal"/>
              <w:widowControl w:val="false"/>
              <w:tabs>
                <w:tab w:val="clear" w:pos="708"/>
                <w:tab w:val="left" w:pos="901" w:leader="none"/>
              </w:tab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4"/>
              </w:numPr>
              <w:suppressAutoHyphens w:val="false"/>
              <w:snapToGrid w:val="false"/>
              <w:spacing w:lineRule="auto" w:line="240" w:before="0" w:after="0"/>
              <w:ind w:left="0" w:hanging="36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Порядок оплаты дополнительных работ (внесения изменения), необходимость выполнения которых возникла в процессе производства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5"/>
              </w:numPr>
              <w:suppressAutoHyphens w:val="false"/>
              <w:snapToGrid w:val="false"/>
              <w:spacing w:lineRule="auto" w:line="240" w:before="0" w:after="0"/>
              <w:ind w:left="0" w:hanging="36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Гарантийный срок на выполненные работы устанавливается – 3 года, с момента подписания А</w:t>
            </w:r>
            <w:r>
              <w:rPr>
                <w:rFonts w:eastAsia="MS Mincho" w:cs="Times New Roman" w:ascii="Times New Roman" w:hAnsi="Times New Roman"/>
                <w:sz w:val="24"/>
                <w:szCs w:val="24"/>
              </w:rPr>
              <w:t>кта приемки законченного строительством объекта по форме КС-11, утвержденной Постановлением Госкомстата России  от  30.10.97 №71а</w:t>
            </w:r>
            <w:r>
              <w:rPr>
                <w:rFonts w:eastAsia="Times New Roman" w:cs="Times New Roman" w:ascii="Times New Roman" w:hAnsi="Times New Roman"/>
                <w:sz w:val="24"/>
                <w:szCs w:val="24"/>
              </w:rPr>
              <w:t>, а на оборудование и материалы – в соответствии с гарантийной документацией их производителя.</w:t>
            </w:r>
          </w:p>
        </w:tc>
      </w:tr>
    </w:tbl>
    <w:p>
      <w:pPr>
        <w:pStyle w:val="Normal"/>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sectPr>
          <w:type w:val="nextPage"/>
          <w:pgSz w:w="11906" w:h="16838"/>
          <w:pgMar w:left="1134" w:right="737" w:header="0" w:top="709" w:footer="0" w:bottom="709" w:gutter="0"/>
          <w:pgNumType w:fmt="decimal"/>
          <w:formProt w:val="false"/>
          <w:textDirection w:val="lrTb"/>
          <w:docGrid w:type="default" w:linePitch="100" w:charSpace="12288"/>
        </w:sectPr>
        <w:pStyle w:val="Normal"/>
        <w:ind w:firstLine="709"/>
        <w:jc w:val="center"/>
        <w:rPr>
          <w:rFonts w:ascii="Times New Roman" w:hAnsi="Times New Roman"/>
        </w:rPr>
      </w:pPr>
      <w:r>
        <w:rPr>
          <w:rFonts w:ascii="Times New Roman" w:hAnsi="Times New Roman"/>
        </w:rPr>
        <w:t xml:space="preserve"> </w:t>
      </w:r>
    </w:p>
    <w:p>
      <w:pPr>
        <w:pStyle w:val="Normal"/>
        <w:widowControl w:val="false"/>
        <w:tabs>
          <w:tab w:val="clear" w:pos="708"/>
          <w:tab w:val="left" w:pos="1560" w:leader="none"/>
        </w:tabs>
        <w:spacing w:lineRule="auto" w:line="240" w:before="0" w:after="0"/>
        <w:jc w:val="center"/>
        <w:rPr>
          <w:rFonts w:ascii="Times New Roman" w:hAnsi="Times New Roman"/>
        </w:rPr>
      </w:pPr>
      <w:r>
        <w:rPr>
          <w:rFonts w:ascii="Times New Roman" w:hAnsi="Times New Roman"/>
          <w:b/>
          <w:bCs/>
          <w:sz w:val="24"/>
          <w:szCs w:val="24"/>
          <w:lang w:val="en-US"/>
        </w:rPr>
        <w:t>III</w:t>
      </w:r>
      <w:r>
        <w:rPr>
          <w:rFonts w:ascii="Times New Roman" w:hAnsi="Times New Roman"/>
          <w:b/>
          <w:bCs/>
          <w:sz w:val="24"/>
          <w:szCs w:val="24"/>
        </w:rPr>
        <w:t>. ОБОСНОВАНИЕ НАЧАЛЬНОЙ (МАКСИМАЛЬНОЙ) ЦЕНЫ КОНТРАКТА</w:t>
      </w:r>
    </w:p>
    <w:p>
      <w:pPr>
        <w:pStyle w:val="Normal"/>
        <w:widowControl w:val="false"/>
        <w:numPr>
          <w:ilvl w:val="0"/>
          <w:numId w:val="0"/>
        </w:numPr>
        <w:spacing w:lineRule="exact" w:line="280"/>
        <w:ind w:left="0" w:hanging="0"/>
        <w:jc w:val="center"/>
        <w:outlineLvl w:val="0"/>
        <w:rPr>
          <w:rFonts w:ascii="Times New Roman" w:hAnsi="Times New Roman"/>
        </w:rPr>
      </w:pPr>
      <w:r>
        <w:rPr>
          <w:rFonts w:ascii="Times New Roman" w:hAnsi="Times New Roman"/>
          <w:b/>
          <w:bCs/>
          <w:lang w:bidi="ru-RU"/>
        </w:rPr>
        <w:t>ПРОТОКОЛ</w:t>
      </w:r>
    </w:p>
    <w:p>
      <w:pPr>
        <w:pStyle w:val="Normal"/>
        <w:widowControl w:val="false"/>
        <w:spacing w:lineRule="exact" w:line="260" w:before="0" w:after="308"/>
        <w:jc w:val="center"/>
        <w:rPr>
          <w:rFonts w:ascii="Times New Roman" w:hAnsi="Times New Roman"/>
        </w:rPr>
      </w:pPr>
      <w:r>
        <w:rPr>
          <w:rFonts w:ascii="Times New Roman" w:hAnsi="Times New Roman"/>
          <w:b/>
          <w:lang w:bidi="ru-RU"/>
        </w:rPr>
        <w:t xml:space="preserve"> </w:t>
      </w:r>
      <w:r>
        <w:rPr>
          <w:rFonts w:ascii="Times New Roman" w:hAnsi="Times New Roman"/>
          <w:b/>
          <w:lang w:bidi="ru-RU"/>
        </w:rPr>
        <w:t>начальной (максимальной) цены контракта</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Объект закупки:</w:t>
      </w:r>
    </w:p>
    <w:p>
      <w:pPr>
        <w:pStyle w:val="Normal"/>
        <w:suppressAutoHyphens w:val="false"/>
        <w:spacing w:lineRule="auto" w:line="240" w:before="0" w:after="0"/>
        <w:jc w:val="both"/>
        <w:rPr>
          <w:rFonts w:ascii="Times New Roman" w:hAnsi="Times New Roman" w:eastAsia="Times New Roman" w:cs="Times New Roman"/>
          <w:b/>
          <w:b/>
          <w:sz w:val="24"/>
          <w:szCs w:val="24"/>
          <w:u w:val="single"/>
          <w:lang w:eastAsia="ru-RU" w:bidi="ru-RU"/>
        </w:rPr>
      </w:pPr>
      <w:r>
        <w:rPr>
          <w:rFonts w:eastAsia="Times New Roman" w:cs="Times New Roman" w:ascii="Times New Roman" w:hAnsi="Times New Roman"/>
          <w:b/>
          <w:sz w:val="24"/>
          <w:szCs w:val="24"/>
          <w:u w:val="single"/>
          <w:lang w:eastAsia="ru-RU" w:bidi="ru-RU"/>
        </w:rPr>
        <w:t xml:space="preserve"> </w:t>
      </w:r>
      <w:r>
        <w:rPr>
          <w:rFonts w:eastAsia="Times New Roman" w:cs="Times New Roman" w:ascii="Times New Roman" w:hAnsi="Times New Roman"/>
          <w:b/>
          <w:sz w:val="24"/>
          <w:szCs w:val="24"/>
          <w:u w:val="single"/>
          <w:lang w:eastAsia="ru-RU" w:bidi="ru-RU"/>
        </w:rPr>
        <w:t>«Капитальный ремонт дворовых и прилегающих к ним территорий к домам 2,8,10 ул.Гайдара города Армянска»</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Начальная (максимальная) цена контракта составляет:</w:t>
      </w:r>
    </w:p>
    <w:p>
      <w:pPr>
        <w:pStyle w:val="Normal"/>
        <w:suppressAutoHyphens w:val="false"/>
        <w:spacing w:lineRule="auto" w:line="240" w:before="0" w:after="0"/>
        <w:jc w:val="both"/>
        <w:rPr>
          <w:rFonts w:ascii="Times New Roman" w:hAnsi="Times New Roman" w:eastAsia="Times New Roman" w:cs="Times New Roman"/>
          <w:b/>
          <w:b/>
          <w:i/>
          <w:i/>
          <w:sz w:val="24"/>
          <w:szCs w:val="24"/>
          <w:lang w:eastAsia="ru-RU" w:bidi="ru-RU"/>
        </w:rPr>
      </w:pPr>
      <w:r>
        <w:rPr>
          <w:rFonts w:eastAsia="Times New Roman" w:cs="Times New Roman" w:ascii="Times New Roman" w:hAnsi="Times New Roman"/>
          <w:b/>
          <w:sz w:val="24"/>
          <w:szCs w:val="24"/>
          <w:lang w:eastAsia="ru-RU" w:bidi="ru-RU"/>
        </w:rPr>
        <w:t xml:space="preserve">11 736 080,00 рублей </w:t>
      </w:r>
      <w:r>
        <w:rPr>
          <w:rFonts w:eastAsia="Times New Roman" w:cs="Times New Roman" w:ascii="Times New Roman" w:hAnsi="Times New Roman"/>
          <w:b/>
          <w:i/>
          <w:sz w:val="24"/>
          <w:szCs w:val="24"/>
          <w:lang w:eastAsia="ru-RU" w:bidi="ru-RU"/>
        </w:rPr>
        <w:t>(одиннадцать  миллионов семьсот тридцать шесть  тысяч  восемьдесят рублей 00 копеек)</w:t>
      </w:r>
      <w:r>
        <w:rPr>
          <w:rFonts w:eastAsia="Times New Roman" w:cs="Times New Roman" w:ascii="Times New Roman" w:hAnsi="Times New Roman"/>
          <w:b/>
          <w:sz w:val="24"/>
          <w:szCs w:val="24"/>
          <w:lang w:eastAsia="ru-RU" w:bidi="ru-RU"/>
        </w:rPr>
        <w:t>, в т.ч. НДС (20%) 1 956 010,00 руб. (</w:t>
      </w:r>
      <w:r>
        <w:rPr>
          <w:rFonts w:eastAsia="Times New Roman" w:cs="Times New Roman" w:ascii="Times New Roman" w:hAnsi="Times New Roman"/>
          <w:b/>
          <w:i/>
          <w:sz w:val="24"/>
          <w:szCs w:val="24"/>
          <w:lang w:eastAsia="ru-RU" w:bidi="ru-RU"/>
        </w:rPr>
        <w:t>один миллион девятьсот пятьдесят шесть тысяч десять рублей 00 копеек).</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Начальная (максимальная) цена контракта включает в себя расходы</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связанные с выполнением работ в полном объеме и с надлежащим качеством, включая затраты на перевозку, страхование, уплату таможенных пошлин, налогов, сборов и других обязательных платежей связанных с исполнением контракта.</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Приложение:</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Расчёт начальной (максимальной) цены контракта.</w:t>
      </w:r>
    </w:p>
    <w:p>
      <w:pPr>
        <w:pStyle w:val="Normal"/>
        <w:suppressAutoHyphens w:val="false"/>
        <w:spacing w:lineRule="auto" w:line="240" w:before="0" w:after="0"/>
        <w:jc w:val="both"/>
        <w:rPr>
          <w:rFonts w:ascii="Times New Roman" w:hAnsi="Times New Roman" w:eastAsia="Times New Roman" w:cs="Times New Roman"/>
          <w:b/>
          <w:b/>
          <w:bCs/>
          <w:sz w:val="24"/>
          <w:szCs w:val="24"/>
          <w:lang w:eastAsia="ru-RU" w:bidi="ru-RU"/>
        </w:rPr>
      </w:pPr>
      <w:r>
        <w:rPr>
          <w:rFonts w:eastAsia="Times New Roman" w:cs="Times New Roman" w:ascii="Times New Roman" w:hAnsi="Times New Roman"/>
          <w:b/>
          <w:bCs/>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b/>
          <w:b/>
          <w:bCs/>
          <w:sz w:val="24"/>
          <w:szCs w:val="24"/>
          <w:lang w:eastAsia="ru-RU" w:bidi="ru-RU"/>
        </w:rPr>
      </w:pPr>
      <w:r>
        <w:rPr>
          <w:rFonts w:eastAsia="Times New Roman" w:cs="Times New Roman" w:ascii="Times New Roman" w:hAnsi="Times New Roman"/>
          <w:b/>
          <w:bCs/>
          <w:sz w:val="24"/>
          <w:szCs w:val="24"/>
          <w:lang w:eastAsia="ru-RU" w:bidi="ru-RU"/>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2998"/>
        <w:gridCol w:w="2378"/>
        <w:gridCol w:w="5112"/>
      </w:tblGrid>
      <w:tr>
        <w:trPr>
          <w:trHeight w:val="20" w:hRule="atLeast"/>
        </w:trPr>
        <w:tc>
          <w:tcPr>
            <w:tcW w:w="2998" w:type="dxa"/>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b/>
                <w:b/>
                <w:bCs/>
                <w:i/>
                <w:i/>
                <w:sz w:val="24"/>
                <w:szCs w:val="24"/>
                <w:lang w:eastAsia="ru-RU" w:bidi="ru-RU"/>
              </w:rPr>
            </w:pPr>
            <w:r>
              <w:rPr>
                <w:rFonts w:eastAsia="Times New Roman" w:cs="Times New Roman" w:ascii="Times New Roman" w:hAnsi="Times New Roman"/>
                <w:b/>
                <w:bCs/>
                <w:i/>
                <w:sz w:val="24"/>
                <w:szCs w:val="24"/>
                <w:lang w:eastAsia="ru-RU" w:bidi="ru-RU"/>
              </w:rPr>
              <w:t>Заказчик</w:t>
            </w:r>
          </w:p>
        </w:tc>
        <w:tc>
          <w:tcPr>
            <w:tcW w:w="2378" w:type="dxa"/>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b/>
                <w:b/>
                <w:bCs/>
                <w:i/>
                <w:i/>
                <w:sz w:val="24"/>
                <w:szCs w:val="24"/>
                <w:lang w:eastAsia="ru-RU" w:bidi="ru-RU"/>
              </w:rPr>
            </w:pPr>
            <w:r>
              <w:rPr>
                <w:rFonts w:eastAsia="Times New Roman" w:cs="Times New Roman" w:ascii="Times New Roman" w:hAnsi="Times New Roman"/>
                <w:b/>
                <w:bCs/>
                <w:i/>
                <w:sz w:val="24"/>
                <w:szCs w:val="24"/>
                <w:lang w:eastAsia="ru-RU" w:bidi="ru-RU"/>
              </w:rPr>
              <w:t>_____________</w:t>
            </w:r>
          </w:p>
          <w:p>
            <w:pPr>
              <w:pStyle w:val="Normal"/>
              <w:widowControl w:val="false"/>
              <w:suppressAutoHyphens w:val="false"/>
              <w:spacing w:lineRule="auto" w:line="240" w:before="0" w:after="0"/>
              <w:jc w:val="both"/>
              <w:rPr>
                <w:rFonts w:ascii="Times New Roman" w:hAnsi="Times New Roman" w:eastAsia="Times New Roman" w:cs="Times New Roman"/>
                <w:b/>
                <w:b/>
                <w:bCs/>
                <w:i/>
                <w:i/>
                <w:sz w:val="24"/>
                <w:szCs w:val="24"/>
                <w:lang w:eastAsia="ru-RU" w:bidi="ru-RU"/>
              </w:rPr>
            </w:pPr>
            <w:r>
              <w:rPr>
                <w:rFonts w:eastAsia="Times New Roman" w:cs="Times New Roman" w:ascii="Times New Roman" w:hAnsi="Times New Roman"/>
                <w:b/>
                <w:bCs/>
                <w:i/>
                <w:sz w:val="24"/>
                <w:szCs w:val="24"/>
                <w:lang w:eastAsia="ru-RU" w:bidi="ru-RU"/>
              </w:rPr>
              <w:t>(подпись)</w:t>
            </w:r>
          </w:p>
        </w:tc>
        <w:tc>
          <w:tcPr>
            <w:tcW w:w="5112" w:type="dxa"/>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b/>
                <w:b/>
                <w:bCs/>
                <w:sz w:val="24"/>
                <w:szCs w:val="24"/>
                <w:lang w:eastAsia="ru-RU" w:bidi="ru-RU"/>
              </w:rPr>
            </w:pPr>
            <w:r>
              <w:rPr>
                <w:rFonts w:eastAsia="Times New Roman" w:cs="Times New Roman" w:ascii="Times New Roman" w:hAnsi="Times New Roman"/>
                <w:b/>
                <w:bCs/>
                <w:sz w:val="24"/>
                <w:szCs w:val="24"/>
                <w:lang w:eastAsia="ru-RU" w:bidi="ru-RU"/>
              </w:rPr>
            </w:r>
          </w:p>
        </w:tc>
      </w:tr>
    </w:tbl>
    <w:p>
      <w:pPr>
        <w:sectPr>
          <w:headerReference w:type="default" r:id="rId4"/>
          <w:type w:val="nextPage"/>
          <w:pgSz w:w="11906" w:h="16838"/>
          <w:pgMar w:left="851" w:right="567" w:header="720" w:top="777" w:footer="0" w:bottom="284" w:gutter="0"/>
          <w:pgNumType w:fmt="decimal"/>
          <w:formProt w:val="false"/>
          <w:textDirection w:val="lrTb"/>
          <w:docGrid w:type="default" w:linePitch="326" w:charSpace="4096"/>
        </w:sectPr>
      </w:pPr>
    </w:p>
    <w:p>
      <w:pPr>
        <w:pStyle w:val="Normal"/>
        <w:suppressAutoHyphens w:val="false"/>
        <w:spacing w:lineRule="auto" w:line="240" w:before="0" w:after="0"/>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Расчет начальной (максимальной) цены контракта при осуществлении закупок на выполнение подрядных работ</w:t>
      </w:r>
    </w:p>
    <w:p>
      <w:pPr>
        <w:pStyle w:val="Normal"/>
        <w:suppressAutoHyphens w:val="false"/>
        <w:spacing w:lineRule="auto" w:line="240" w:before="0" w:after="0"/>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по строительству, реконструкции, капитальному ремонту, сносу объектов капитального строительства, работам</w:t>
      </w:r>
    </w:p>
    <w:p>
      <w:pPr>
        <w:pStyle w:val="Normal"/>
        <w:suppressAutoHyphens w:val="false"/>
        <w:spacing w:lineRule="auto" w:line="240" w:before="0" w:after="0"/>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по сохранению объектов культурного наследия (памятников истории и культуры) народов Российской Федерации</w:t>
      </w:r>
    </w:p>
    <w:p>
      <w:pPr>
        <w:pStyle w:val="Normal"/>
        <w:suppressAutoHyphens w:val="false"/>
        <w:spacing w:lineRule="auto" w:line="240" w:before="0" w:after="0"/>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и выполнению строительных работ в отношении объектов, не являющихся объектами капитального строительства</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b/>
          <w:b/>
          <w:sz w:val="24"/>
          <w:szCs w:val="24"/>
          <w:u w:val="single"/>
          <w:lang w:eastAsia="ru-RU" w:bidi="ru-RU"/>
        </w:rPr>
      </w:pPr>
      <w:r>
        <w:rPr>
          <w:rFonts w:eastAsia="Times New Roman" w:cs="Times New Roman" w:ascii="Times New Roman" w:hAnsi="Times New Roman"/>
          <w:b/>
          <w:sz w:val="24"/>
          <w:szCs w:val="24"/>
          <w:lang w:eastAsia="ru-RU" w:bidi="ru-RU"/>
        </w:rPr>
        <w:t xml:space="preserve">по объекту: </w:t>
      </w:r>
      <w:r>
        <w:rPr>
          <w:rFonts w:eastAsia="Times New Roman" w:cs="Times New Roman" w:ascii="Times New Roman" w:hAnsi="Times New Roman"/>
          <w:b/>
          <w:sz w:val="24"/>
          <w:szCs w:val="24"/>
          <w:u w:val="single"/>
          <w:lang w:eastAsia="ru-RU" w:bidi="ru-RU"/>
        </w:rPr>
        <w:t>«Капитальный ремонт дворовых и прилегающих к ним территорий к домам 2,8,10 ул.Гайдара города Армянска»</w:t>
      </w:r>
    </w:p>
    <w:p>
      <w:pPr>
        <w:pStyle w:val="Normal"/>
        <w:suppressAutoHyphens w:val="false"/>
        <w:spacing w:lineRule="auto" w:line="240" w:before="0" w:after="0"/>
        <w:jc w:val="both"/>
        <w:rPr>
          <w:rFonts w:ascii="Times New Roman" w:hAnsi="Times New Roman" w:eastAsia="Times New Roman" w:cs="Times New Roman"/>
          <w:b/>
          <w:b/>
          <w:bCs/>
          <w:sz w:val="24"/>
          <w:szCs w:val="24"/>
          <w:lang w:eastAsia="ru-RU" w:bidi="ru-RU"/>
        </w:rPr>
      </w:pPr>
      <w:r>
        <w:rPr>
          <w:rFonts w:eastAsia="Times New Roman" w:cs="Times New Roman" w:ascii="Times New Roman" w:hAnsi="Times New Roman"/>
          <w:b/>
          <w:bCs/>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 xml:space="preserve">по адресу: 296012, Республика Крым, </w:t>
      </w:r>
      <w:r>
        <w:rPr>
          <w:rFonts w:eastAsia="Times New Roman" w:cs="Times New Roman" w:ascii="Times New Roman" w:hAnsi="Times New Roman"/>
          <w:bCs/>
          <w:sz w:val="24"/>
          <w:szCs w:val="24"/>
          <w:lang w:eastAsia="ru-RU" w:bidi="ru-RU"/>
        </w:rPr>
        <w:t>г. Армянск, ул. Гайдара</w:t>
      </w:r>
    </w:p>
    <w:p>
      <w:pPr>
        <w:pStyle w:val="Normal"/>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Основания для расчета:</w:t>
      </w:r>
    </w:p>
    <w:p>
      <w:pPr>
        <w:pStyle w:val="Normal"/>
        <w:numPr>
          <w:ilvl w:val="0"/>
          <w:numId w:val="7"/>
        </w:numPr>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Постановление об утверждении проектно - сметной документации по капитальному ремонту объекта от  26.01.2021 г. N 27</w:t>
      </w:r>
    </w:p>
    <w:p>
      <w:pPr>
        <w:pStyle w:val="Normal"/>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 xml:space="preserve">   </w:t>
      </w:r>
      <w:r>
        <w:rPr>
          <w:rFonts w:eastAsia="Times New Roman" w:cs="Times New Roman" w:ascii="Times New Roman" w:hAnsi="Times New Roman"/>
          <w:sz w:val="24"/>
          <w:szCs w:val="24"/>
          <w:lang w:eastAsia="ru-RU" w:bidi="ru-RU"/>
        </w:rPr>
        <w:t>2.  Положительное заключение негосударственной экспертизы от 30.12.2020 г. N 77-2-1-0595-20</w:t>
      </w:r>
    </w:p>
    <w:p>
      <w:pPr>
        <w:pStyle w:val="Normal"/>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 xml:space="preserve">   </w:t>
      </w:r>
      <w:r>
        <w:rPr>
          <w:rFonts w:eastAsia="Times New Roman" w:cs="Times New Roman" w:ascii="Times New Roman" w:hAnsi="Times New Roman"/>
          <w:sz w:val="24"/>
          <w:szCs w:val="24"/>
          <w:lang w:eastAsia="ru-RU" w:bidi="ru-RU"/>
        </w:rPr>
        <w:t>3.  Утвержденный  сводный  сметный  расчет,  утвержденный локальный сметный расчет.</w:t>
      </w:r>
    </w:p>
    <w:p>
      <w:pPr>
        <w:pStyle w:val="Normal"/>
        <w:suppressAutoHyphens w:val="false"/>
        <w:spacing w:lineRule="auto" w:line="240" w:before="0" w:after="0"/>
        <w:jc w:val="both"/>
        <w:rPr>
          <w:rFonts w:ascii="Times New Roman" w:hAnsi="Times New Roman" w:eastAsia="Times New Roman" w:cs="Times New Roman"/>
          <w:iCs/>
          <w:sz w:val="24"/>
          <w:szCs w:val="24"/>
          <w:lang w:eastAsia="ru-RU" w:bidi="ru-RU"/>
        </w:rPr>
      </w:pPr>
      <w:r>
        <w:rPr>
          <w:rFonts w:eastAsia="Times New Roman" w:cs="Times New Roman" w:ascii="Times New Roman" w:hAnsi="Times New Roman"/>
          <w:sz w:val="24"/>
          <w:szCs w:val="24"/>
          <w:lang w:eastAsia="ru-RU" w:bidi="ru-RU"/>
        </w:rPr>
        <w:t xml:space="preserve">Сводная смета стоимости </w:t>
      </w:r>
      <w:r>
        <w:rPr>
          <w:rFonts w:eastAsia="Times New Roman" w:cs="Times New Roman" w:ascii="Times New Roman" w:hAnsi="Times New Roman"/>
          <w:iCs/>
          <w:sz w:val="24"/>
          <w:szCs w:val="24"/>
          <w:lang w:eastAsia="ru-RU" w:bidi="ru-RU"/>
        </w:rPr>
        <w:t>строительства</w:t>
      </w:r>
    </w:p>
    <w:p>
      <w:pPr>
        <w:pStyle w:val="Normal"/>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Выполнение работ по объекту «Капитальный ремонт дворовых и прилегающих к ним территорий к домам 2,8,10 ул.Гайдара города Армянска»</w:t>
      </w:r>
    </w:p>
    <w:tbl>
      <w:tblPr>
        <w:tblW w:w="13943"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549"/>
        <w:gridCol w:w="1956"/>
        <w:gridCol w:w="3896"/>
        <w:gridCol w:w="1500"/>
        <w:gridCol w:w="1379"/>
        <w:gridCol w:w="1555"/>
        <w:gridCol w:w="1529"/>
        <w:gridCol w:w="1577"/>
      </w:tblGrid>
      <w:tr>
        <w:trPr>
          <w:tblHeader w:val="true"/>
          <w:trHeight w:val="255" w:hRule="atLeast"/>
        </w:trPr>
        <w:tc>
          <w:tcPr>
            <w:tcW w:w="54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 xml:space="preserve">№ </w:t>
            </w:r>
            <w:r>
              <w:rPr>
                <w:rFonts w:eastAsia="Times New Roman" w:cs="Times New Roman" w:ascii="Times New Roman" w:hAnsi="Times New Roman"/>
                <w:sz w:val="24"/>
                <w:szCs w:val="24"/>
                <w:lang w:eastAsia="ru-RU" w:bidi="ru-RU"/>
              </w:rPr>
              <w:t>пп</w:t>
            </w:r>
          </w:p>
        </w:tc>
        <w:tc>
          <w:tcPr>
            <w:tcW w:w="19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Номера сметных расчетов и смет</w:t>
            </w:r>
          </w:p>
        </w:tc>
        <w:tc>
          <w:tcPr>
            <w:tcW w:w="389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Наименование глав, объектов, работ и затрат</w:t>
            </w:r>
          </w:p>
        </w:tc>
        <w:tc>
          <w:tcPr>
            <w:tcW w:w="5963"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Сметная стоимость тыс. руб.</w:t>
            </w:r>
          </w:p>
        </w:tc>
        <w:tc>
          <w:tcPr>
            <w:tcW w:w="15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Общая сметная стоимость        тыс. руб.</w:t>
            </w:r>
          </w:p>
        </w:tc>
      </w:tr>
      <w:tr>
        <w:trPr>
          <w:tblHeader w:val="true"/>
          <w:trHeight w:val="276" w:hRule="atLeast"/>
        </w:trPr>
        <w:tc>
          <w:tcPr>
            <w:tcW w:w="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9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38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0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строительных работ</w:t>
            </w:r>
          </w:p>
        </w:tc>
        <w:tc>
          <w:tcPr>
            <w:tcW w:w="137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монтажных работ</w:t>
            </w:r>
          </w:p>
        </w:tc>
        <w:tc>
          <w:tcPr>
            <w:tcW w:w="15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оборудования, мебели, инвентаря</w:t>
            </w:r>
          </w:p>
        </w:tc>
        <w:tc>
          <w:tcPr>
            <w:tcW w:w="15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прочих</w:t>
            </w:r>
          </w:p>
        </w:tc>
        <w:tc>
          <w:tcPr>
            <w:tcW w:w="15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r>
      <w:tr>
        <w:trPr>
          <w:tblHeader w:val="true"/>
          <w:trHeight w:val="276" w:hRule="atLeast"/>
        </w:trPr>
        <w:tc>
          <w:tcPr>
            <w:tcW w:w="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9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38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3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r>
      <w:tr>
        <w:trPr>
          <w:tblHeader w:val="true"/>
          <w:trHeight w:val="276" w:hRule="atLeast"/>
        </w:trPr>
        <w:tc>
          <w:tcPr>
            <w:tcW w:w="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9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38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3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r>
      <w:tr>
        <w:trPr>
          <w:trHeight w:val="255"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w:t>
            </w:r>
          </w:p>
        </w:tc>
        <w:tc>
          <w:tcPr>
            <w:tcW w:w="195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2</w:t>
            </w:r>
          </w:p>
        </w:tc>
        <w:tc>
          <w:tcPr>
            <w:tcW w:w="389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3</w:t>
            </w:r>
          </w:p>
        </w:tc>
        <w:tc>
          <w:tcPr>
            <w:tcW w:w="1500"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4</w:t>
            </w:r>
          </w:p>
        </w:tc>
        <w:tc>
          <w:tcPr>
            <w:tcW w:w="1379"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5</w:t>
            </w:r>
          </w:p>
        </w:tc>
        <w:tc>
          <w:tcPr>
            <w:tcW w:w="1555"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6</w:t>
            </w:r>
          </w:p>
        </w:tc>
        <w:tc>
          <w:tcPr>
            <w:tcW w:w="1529"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7</w:t>
            </w:r>
          </w:p>
        </w:tc>
        <w:tc>
          <w:tcPr>
            <w:tcW w:w="1577"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8</w:t>
            </w:r>
          </w:p>
        </w:tc>
      </w:tr>
      <w:tr>
        <w:trPr>
          <w:trHeight w:val="313" w:hRule="atLeast"/>
        </w:trPr>
        <w:tc>
          <w:tcPr>
            <w:tcW w:w="13941"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bCs/>
                <w:sz w:val="24"/>
                <w:szCs w:val="24"/>
                <w:lang w:eastAsia="ru-RU" w:bidi="ru-RU"/>
              </w:rPr>
              <w:t>Глава 2. Основные объекты</w:t>
            </w:r>
          </w:p>
        </w:tc>
      </w:tr>
      <w:tr>
        <w:trPr>
          <w:trHeight w:val="510"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w:t>
            </w:r>
          </w:p>
        </w:tc>
        <w:tc>
          <w:tcPr>
            <w:tcW w:w="1956"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02-01</w:t>
            </w:r>
          </w:p>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3896"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«Капитальный ремонт дворовых и прилегающих к ним территорий к домам 2,8,10 ул.Гайдара города Армянска»</w:t>
            </w:r>
          </w:p>
        </w:tc>
        <w:tc>
          <w:tcPr>
            <w:tcW w:w="150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8 303,79</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1 284,51</w:t>
            </w:r>
          </w:p>
        </w:tc>
        <w:tc>
          <w:tcPr>
            <w:tcW w:w="155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7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9 588,30</w:t>
            </w:r>
          </w:p>
        </w:tc>
      </w:tr>
      <w:tr>
        <w:trPr>
          <w:trHeight w:val="285"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956"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3896"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ИТОГО по Главам 1-7</w:t>
            </w:r>
          </w:p>
        </w:tc>
        <w:tc>
          <w:tcPr>
            <w:tcW w:w="150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8 303,79</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1 284,51</w:t>
            </w:r>
          </w:p>
        </w:tc>
        <w:tc>
          <w:tcPr>
            <w:tcW w:w="155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7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9 588,30</w:t>
            </w:r>
          </w:p>
        </w:tc>
      </w:tr>
      <w:tr>
        <w:trPr>
          <w:trHeight w:val="276" w:hRule="atLeast"/>
        </w:trPr>
        <w:tc>
          <w:tcPr>
            <w:tcW w:w="13941"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bCs/>
                <w:sz w:val="24"/>
                <w:szCs w:val="24"/>
                <w:lang w:eastAsia="ru-RU" w:bidi="ru-RU"/>
              </w:rPr>
              <w:t>Непредвиденные затраты</w:t>
            </w:r>
          </w:p>
        </w:tc>
      </w:tr>
      <w:tr>
        <w:trPr>
          <w:trHeight w:val="272"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956"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МДС 81-35.2004 п.4.96</w:t>
            </w:r>
          </w:p>
        </w:tc>
        <w:tc>
          <w:tcPr>
            <w:tcW w:w="3896"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Непредвиденные затраты - 2%</w:t>
            </w:r>
          </w:p>
        </w:tc>
        <w:tc>
          <w:tcPr>
            <w:tcW w:w="150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166,08</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25,69</w:t>
            </w:r>
          </w:p>
        </w:tc>
        <w:tc>
          <w:tcPr>
            <w:tcW w:w="155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7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191,77</w:t>
            </w:r>
          </w:p>
        </w:tc>
      </w:tr>
      <w:tr>
        <w:trPr>
          <w:trHeight w:val="322"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5852" w:type="dxa"/>
            <w:gridSpan w:val="2"/>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bCs/>
                <w:sz w:val="24"/>
                <w:szCs w:val="24"/>
                <w:lang w:eastAsia="ru-RU" w:bidi="ru-RU"/>
              </w:rPr>
              <w:t>Итого "Непредвиденные затраты"</w:t>
            </w:r>
          </w:p>
        </w:tc>
        <w:tc>
          <w:tcPr>
            <w:tcW w:w="150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166,08</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25,69</w:t>
            </w:r>
          </w:p>
        </w:tc>
        <w:tc>
          <w:tcPr>
            <w:tcW w:w="155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7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191,77</w:t>
            </w:r>
          </w:p>
        </w:tc>
      </w:tr>
      <w:tr>
        <w:trPr>
          <w:trHeight w:val="230"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956"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3896"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Всего по сводному сметному расчету</w:t>
            </w:r>
          </w:p>
        </w:tc>
        <w:tc>
          <w:tcPr>
            <w:tcW w:w="150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8 469,87</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1 310,20</w:t>
            </w:r>
          </w:p>
        </w:tc>
        <w:tc>
          <w:tcPr>
            <w:tcW w:w="155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7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9 780,07</w:t>
            </w:r>
          </w:p>
        </w:tc>
      </w:tr>
      <w:tr>
        <w:trPr>
          <w:trHeight w:val="265" w:hRule="atLeast"/>
        </w:trPr>
        <w:tc>
          <w:tcPr>
            <w:tcW w:w="13941"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bCs/>
                <w:sz w:val="24"/>
                <w:szCs w:val="24"/>
                <w:lang w:eastAsia="ru-RU" w:bidi="ru-RU"/>
              </w:rPr>
              <w:t>Налоги и обязательные платежи</w:t>
            </w:r>
          </w:p>
        </w:tc>
      </w:tr>
      <w:tr>
        <w:trPr>
          <w:trHeight w:val="282"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956"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МДС 81-35.2004</w:t>
            </w:r>
          </w:p>
        </w:tc>
        <w:tc>
          <w:tcPr>
            <w:tcW w:w="3896"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НДС-20%</w:t>
            </w:r>
          </w:p>
        </w:tc>
        <w:tc>
          <w:tcPr>
            <w:tcW w:w="150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1 693,97</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262,04</w:t>
            </w:r>
          </w:p>
        </w:tc>
        <w:tc>
          <w:tcPr>
            <w:tcW w:w="155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7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1 956,01</w:t>
            </w:r>
          </w:p>
        </w:tc>
      </w:tr>
      <w:tr>
        <w:trPr>
          <w:trHeight w:val="274"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956"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3896"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bCs/>
                <w:sz w:val="24"/>
                <w:szCs w:val="24"/>
                <w:lang w:eastAsia="ru-RU" w:bidi="ru-RU"/>
              </w:rPr>
              <w:t>Итого "Налоги и обязательные платежи"</w:t>
            </w:r>
          </w:p>
        </w:tc>
        <w:tc>
          <w:tcPr>
            <w:tcW w:w="150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1 693,97</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262,04</w:t>
            </w:r>
          </w:p>
        </w:tc>
        <w:tc>
          <w:tcPr>
            <w:tcW w:w="155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7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1 956,01</w:t>
            </w:r>
          </w:p>
        </w:tc>
      </w:tr>
      <w:tr>
        <w:trPr>
          <w:trHeight w:val="366"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5852" w:type="dxa"/>
            <w:gridSpan w:val="2"/>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 </w:t>
            </w:r>
            <w:r>
              <w:rPr>
                <w:rFonts w:eastAsia="Times New Roman" w:cs="Times New Roman" w:ascii="Times New Roman" w:hAnsi="Times New Roman"/>
                <w:sz w:val="24"/>
                <w:szCs w:val="24"/>
                <w:lang w:eastAsia="ru-RU" w:bidi="ru-RU"/>
              </w:rPr>
              <w:t>Всего по сводному сметному расчету</w:t>
            </w:r>
          </w:p>
        </w:tc>
        <w:tc>
          <w:tcPr>
            <w:tcW w:w="150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10 163,84</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1 572,24</w:t>
            </w:r>
          </w:p>
        </w:tc>
        <w:tc>
          <w:tcPr>
            <w:tcW w:w="155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2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tc>
        <w:tc>
          <w:tcPr>
            <w:tcW w:w="157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11 736,08</w:t>
            </w:r>
          </w:p>
        </w:tc>
      </w:tr>
      <w:tr>
        <w:trPr>
          <w:trHeight w:val="255" w:hRule="atLeast"/>
        </w:trPr>
        <w:tc>
          <w:tcPr>
            <w:tcW w:w="1236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bCs/>
                <w:sz w:val="24"/>
                <w:szCs w:val="24"/>
                <w:lang w:eastAsia="ru-RU" w:bidi="ru-RU"/>
              </w:rPr>
              <w:t>НМЦК</w:t>
            </w:r>
          </w:p>
        </w:tc>
        <w:tc>
          <w:tcPr>
            <w:tcW w:w="157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11 736 080,00</w:t>
            </w:r>
          </w:p>
        </w:tc>
      </w:tr>
    </w:tbl>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b/>
          <w:b/>
          <w:i/>
          <w:i/>
          <w:sz w:val="24"/>
          <w:szCs w:val="24"/>
          <w:lang w:eastAsia="ru-RU" w:bidi="ru-RU"/>
        </w:rPr>
      </w:pPr>
      <w:r>
        <w:rPr>
          <w:rFonts w:eastAsia="Times New Roman" w:cs="Times New Roman" w:ascii="Times New Roman" w:hAnsi="Times New Roman"/>
          <w:b/>
          <w:i/>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b/>
          <w:b/>
          <w:i/>
          <w:i/>
          <w:sz w:val="24"/>
          <w:szCs w:val="24"/>
          <w:lang w:eastAsia="ru-RU" w:bidi="ru-RU"/>
        </w:rPr>
      </w:pPr>
      <w:r>
        <w:rPr>
          <w:rFonts w:eastAsia="Times New Roman" w:cs="Times New Roman" w:ascii="Times New Roman" w:hAnsi="Times New Roman"/>
          <w:b/>
          <w:sz w:val="24"/>
          <w:szCs w:val="24"/>
          <w:lang w:eastAsia="ru-RU" w:bidi="ru-RU"/>
        </w:rPr>
        <w:t>Начальная (максимальная) цена контракта, определенная с использованием проектно-сметного метода, составляет 11 736 080,00 рублей (одиннадцать миллионов семьсот тридцать шесть тысяч восемьдесят рублей 00 копеек).</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4084"/>
        <w:gridCol w:w="3239"/>
        <w:gridCol w:w="6964"/>
      </w:tblGrid>
      <w:tr>
        <w:trPr>
          <w:trHeight w:val="594" w:hRule="atLeast"/>
        </w:trPr>
        <w:tc>
          <w:tcPr>
            <w:tcW w:w="4084" w:type="dxa"/>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bCs/>
                <w:i/>
                <w:sz w:val="24"/>
                <w:szCs w:val="24"/>
                <w:lang w:eastAsia="ru-RU" w:bidi="ru-RU"/>
              </w:rPr>
            </w:r>
          </w:p>
          <w:p>
            <w:pPr>
              <w:pStyle w:val="Normal"/>
              <w:widowControl w:val="false"/>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bCs/>
                <w:i/>
                <w:sz w:val="24"/>
                <w:szCs w:val="24"/>
                <w:lang w:eastAsia="ru-RU" w:bidi="ru-RU"/>
              </w:rPr>
              <w:t>Контрактный управляющий</w:t>
            </w:r>
          </w:p>
        </w:tc>
        <w:tc>
          <w:tcPr>
            <w:tcW w:w="3239" w:type="dxa"/>
            <w:tcBorders/>
            <w:shd w:color="auto" w:fill="auto" w:val="clear"/>
            <w:vAlign w:val="bottom"/>
          </w:tcPr>
          <w:p>
            <w:pPr>
              <w:pStyle w:val="Normal"/>
              <w:widowControl w:val="false"/>
              <w:pBdr>
                <w:bottom w:val="single" w:sz="12" w:space="1" w:color="000000"/>
              </w:pBdr>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bCs/>
                <w:i/>
                <w:sz w:val="24"/>
                <w:szCs w:val="24"/>
                <w:lang w:eastAsia="ru-RU" w:bidi="ru-RU"/>
              </w:rPr>
            </w:r>
          </w:p>
          <w:p>
            <w:pPr>
              <w:pStyle w:val="Normal"/>
              <w:widowControl w:val="false"/>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bCs/>
                <w:i/>
                <w:sz w:val="24"/>
                <w:szCs w:val="24"/>
                <w:lang w:eastAsia="ru-RU" w:bidi="ru-RU"/>
              </w:rPr>
            </w:r>
          </w:p>
          <w:p>
            <w:pPr>
              <w:pStyle w:val="Normal"/>
              <w:widowControl w:val="false"/>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bCs/>
                <w:i/>
                <w:sz w:val="24"/>
                <w:szCs w:val="24"/>
                <w:lang w:eastAsia="ru-RU" w:bidi="ru-RU"/>
              </w:rPr>
            </w:r>
          </w:p>
          <w:p>
            <w:pPr>
              <w:pStyle w:val="Normal"/>
              <w:widowControl w:val="false"/>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bCs/>
                <w:i/>
                <w:sz w:val="24"/>
                <w:szCs w:val="24"/>
                <w:lang w:eastAsia="ru-RU" w:bidi="ru-RU"/>
              </w:rPr>
              <w:t>(подпись)</w:t>
            </w:r>
          </w:p>
        </w:tc>
        <w:tc>
          <w:tcPr>
            <w:tcW w:w="6964" w:type="dxa"/>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cs="Times New Roman"/>
                <w:bCs/>
                <w:sz w:val="24"/>
                <w:szCs w:val="24"/>
                <w:lang w:eastAsia="ru-RU" w:bidi="ru-RU"/>
              </w:rPr>
            </w:pPr>
            <w:r>
              <w:rPr>
                <w:rFonts w:eastAsia="Times New Roman" w:cs="Times New Roman" w:ascii="Times New Roman" w:hAnsi="Times New Roman"/>
                <w:bCs/>
                <w:sz w:val="24"/>
                <w:szCs w:val="24"/>
                <w:lang w:eastAsia="ru-RU" w:bidi="ru-RU"/>
              </w:rPr>
            </w:r>
          </w:p>
        </w:tc>
      </w:tr>
      <w:tr>
        <w:trPr>
          <w:trHeight w:val="644" w:hRule="atLeast"/>
        </w:trPr>
        <w:tc>
          <w:tcPr>
            <w:tcW w:w="4084" w:type="dxa"/>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bCs/>
                <w:sz w:val="24"/>
                <w:szCs w:val="24"/>
                <w:lang w:eastAsia="ru-RU" w:bidi="ru-RU"/>
              </w:rPr>
            </w:pPr>
            <w:r>
              <w:rPr>
                <w:rFonts w:eastAsia="Times New Roman" w:cs="Times New Roman" w:ascii="Times New Roman" w:hAnsi="Times New Roman"/>
                <w:sz w:val="24"/>
                <w:szCs w:val="24"/>
                <w:lang w:eastAsia="ru-RU" w:bidi="ru-RU"/>
              </w:rPr>
              <w:t>«19» января 2022 года</w:t>
            </w:r>
          </w:p>
          <w:p>
            <w:pPr>
              <w:pStyle w:val="Normal"/>
              <w:widowControl w:val="false"/>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sz w:val="24"/>
                <w:szCs w:val="24"/>
                <w:lang w:eastAsia="ru-RU" w:bidi="ru-RU"/>
              </w:rPr>
              <w:t>Дата формирования обоснования НМЦК</w:t>
            </w:r>
          </w:p>
        </w:tc>
        <w:tc>
          <w:tcPr>
            <w:tcW w:w="3239" w:type="dxa"/>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bCs/>
                <w:i/>
                <w:i/>
                <w:sz w:val="24"/>
                <w:szCs w:val="24"/>
                <w:lang w:eastAsia="ru-RU" w:bidi="ru-RU"/>
              </w:rPr>
            </w:pPr>
            <w:r>
              <w:rPr>
                <w:rFonts w:eastAsia="Times New Roman" w:cs="Times New Roman" w:ascii="Times New Roman" w:hAnsi="Times New Roman"/>
                <w:bCs/>
                <w:i/>
                <w:sz w:val="24"/>
                <w:szCs w:val="24"/>
                <w:lang w:eastAsia="ru-RU" w:bidi="ru-RU"/>
              </w:rPr>
            </w:r>
          </w:p>
        </w:tc>
        <w:tc>
          <w:tcPr>
            <w:tcW w:w="6964" w:type="dxa"/>
            <w:tcBorders/>
            <w:shd w:color="auto" w:fill="auto" w:val="clear"/>
            <w:vAlign w:val="bottom"/>
          </w:tcPr>
          <w:p>
            <w:pPr>
              <w:pStyle w:val="Normal"/>
              <w:widowControl w:val="false"/>
              <w:suppressAutoHyphens w:val="false"/>
              <w:spacing w:lineRule="auto" w:line="240" w:before="0" w:after="0"/>
              <w:jc w:val="both"/>
              <w:rPr>
                <w:rFonts w:ascii="Times New Roman" w:hAnsi="Times New Roman" w:eastAsia="Times New Roman" w:cs="Times New Roman"/>
                <w:bCs/>
                <w:sz w:val="24"/>
                <w:szCs w:val="24"/>
                <w:lang w:eastAsia="ru-RU" w:bidi="ru-RU"/>
              </w:rPr>
            </w:pPr>
            <w:r>
              <w:rPr>
                <w:rFonts w:eastAsia="Times New Roman" w:cs="Times New Roman" w:ascii="Times New Roman" w:hAnsi="Times New Roman"/>
                <w:bCs/>
                <w:sz w:val="24"/>
                <w:szCs w:val="24"/>
                <w:lang w:eastAsia="ru-RU" w:bidi="ru-RU"/>
              </w:rPr>
            </w:r>
          </w:p>
        </w:tc>
      </w:tr>
    </w:tbl>
    <w:p>
      <w:pPr>
        <w:pStyle w:val="Normal"/>
        <w:suppressAutoHyphens w:val="false"/>
        <w:spacing w:lineRule="auto" w:line="240" w:before="0" w:after="0"/>
        <w:jc w:val="both"/>
        <w:rPr>
          <w:rFonts w:ascii="Times New Roman" w:hAnsi="Times New Roman" w:eastAsia="Times New Roman" w:cs="Times New Roman"/>
          <w:bCs/>
          <w:sz w:val="24"/>
          <w:szCs w:val="24"/>
          <w:lang w:eastAsia="ru-RU" w:bidi="ru-RU"/>
        </w:rPr>
      </w:pPr>
      <w:r>
        <w:rPr>
          <w:rFonts w:eastAsia="Times New Roman" w:cs="Times New Roman" w:ascii="Times New Roman" w:hAnsi="Times New Roman"/>
          <w:bCs/>
          <w:sz w:val="24"/>
          <w:szCs w:val="24"/>
          <w:lang w:eastAsia="ru-RU" w:bidi="ru-RU"/>
        </w:rPr>
      </w:r>
    </w:p>
    <w:p>
      <w:pPr>
        <w:pStyle w:val="Normal"/>
        <w:suppressAutoHyphens w:val="false"/>
        <w:spacing w:lineRule="auto" w:line="240" w:before="0" w:after="0"/>
        <w:jc w:val="both"/>
        <w:rPr>
          <w:rFonts w:ascii="Times New Roman" w:hAnsi="Times New Roman" w:eastAsia="Times New Roman" w:cs="Times New Roman"/>
          <w:bCs/>
          <w:sz w:val="24"/>
          <w:szCs w:val="24"/>
          <w:lang w:eastAsia="ru-RU" w:bidi="ru-RU"/>
        </w:rPr>
      </w:pPr>
      <w:r>
        <w:rPr>
          <w:rFonts w:eastAsia="Times New Roman" w:cs="Times New Roman" w:ascii="Times New Roman" w:hAnsi="Times New Roman"/>
          <w:bCs/>
          <w:sz w:val="24"/>
          <w:szCs w:val="24"/>
          <w:lang w:eastAsia="ru-RU" w:bidi="ru-RU"/>
        </w:rPr>
      </w:r>
    </w:p>
    <w:p>
      <w:pPr>
        <w:pStyle w:val="Normal"/>
        <w:suppressAutoHyphens w:val="false"/>
        <w:spacing w:lineRule="auto" w:line="240" w:before="0" w:after="0"/>
        <w:jc w:val="both"/>
        <w:rPr>
          <w:rFonts w:ascii="Times New Roman" w:hAnsi="Times New Roman"/>
        </w:rPr>
      </w:pPr>
      <w:r>
        <w:rPr/>
      </w:r>
    </w:p>
    <w:sectPr>
      <w:headerReference w:type="default" r:id="rId5"/>
      <w:footerReference w:type="default" r:id="rId6"/>
      <w:type w:val="nextPage"/>
      <w:pgSz w:orient="landscape" w:w="16838" w:h="11906"/>
      <w:pgMar w:left="850" w:right="1701" w:header="0" w:top="1134" w:footer="708" w:bottom="1134"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76" w:before="0" w:after="20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4264207"/>
    </w:sdtPr>
    <w:sdtContent>
      <w:p>
        <w:pPr>
          <w:pStyle w:val="Style25"/>
          <w:jc w:val="center"/>
          <w:rPr/>
        </w:pPr>
        <w:r>
          <w:rPr/>
          <w:fldChar w:fldCharType="begin"/>
        </w:r>
        <w:r>
          <w:rPr/>
          <w:instrText> PAGE </w:instrText>
        </w:r>
        <w:r>
          <w:rPr/>
          <w:fldChar w:fldCharType="separate"/>
        </w:r>
        <w:r>
          <w:rPr/>
          <w:t>23</w:t>
        </w:r>
        <w:r>
          <w:rPr/>
          <w:fldChar w:fldCharType="end"/>
        </w:r>
      </w:p>
      <w:p>
        <w:pPr>
          <w:pStyle w:val="Style25"/>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48948388"/>
    </w:sdtPr>
    <w:sdtContent>
      <w:p>
        <w:pPr>
          <w:pStyle w:val="Style25"/>
          <w:jc w:val="center"/>
          <w:rPr/>
        </w:pPr>
        <w:r>
          <w:rPr/>
          <w:fldChar w:fldCharType="begin"/>
        </w:r>
        <w:r>
          <w:rPr/>
          <w:instrText> PAGE </w:instrText>
        </w:r>
        <w:r>
          <w:rPr/>
          <w:fldChar w:fldCharType="separate"/>
        </w:r>
        <w:r>
          <w:rPr/>
          <w:t>25</w:t>
        </w:r>
        <w:r>
          <w:rPr/>
          <w:fldChar w:fldCharType="end"/>
        </w:r>
      </w:p>
      <w:p>
        <w:pPr>
          <w:pStyle w:val="Style25"/>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32"/>
        </w:tabs>
        <w:ind w:left="432" w:hanging="432"/>
      </w:pPr>
      <w:rPr>
        <w:sz w:val="22"/>
        <w:b w:val="false"/>
        <w:szCs w:val="22"/>
      </w:rPr>
    </w:lvl>
    <w:lvl w:ilvl="1">
      <w:start w:val="1"/>
      <w:numFmt w:val="decimal"/>
      <w:lvlText w:val="%1.%2."/>
      <w:lvlJc w:val="left"/>
      <w:pPr>
        <w:tabs>
          <w:tab w:val="num" w:pos="576"/>
        </w:tabs>
        <w:ind w:left="576" w:hanging="576"/>
      </w:pPr>
      <w:rPr>
        <w:b w:val="false"/>
      </w:rPr>
    </w:lvl>
    <w:lvl w:ilvl="2">
      <w:start w:val="1"/>
      <w:numFmt w:val="decimal"/>
      <w:lvlText w:val="%1.%2.%3."/>
      <w:lvlJc w:val="left"/>
      <w:pPr>
        <w:tabs>
          <w:tab w:val="num" w:pos="170"/>
        </w:tabs>
        <w:ind w:left="720" w:hanging="720"/>
      </w:pPr>
      <w:rPr>
        <w:sz w:val="26"/>
        <w:i w:val="false"/>
        <w:b w:val="false"/>
        <w:szCs w:val="26"/>
        <w:iCs w:val="false"/>
        <w:bCs w:val="false"/>
        <w:rFonts w:ascii="Times New Roman" w:hAnsi="Times New Roman" w:cs="Times New Roman"/>
      </w:rPr>
    </w:lvl>
    <w:lvl w:ilvl="3">
      <w:start w:val="1"/>
      <w:numFmt w:val="decimal"/>
      <w:lvlText w:val="%1.%2.%3.%4."/>
      <w:lvlJc w:val="left"/>
      <w:pPr>
        <w:tabs>
          <w:tab w:val="num" w:pos="864"/>
        </w:tabs>
        <w:ind w:left="864" w:hanging="864"/>
      </w:pPr>
      <w:rPr>
        <w:sz w:val="26"/>
        <w:szCs w:val="26"/>
        <w:rFonts w:ascii="Times New Roman" w:hAnsi="Times New Roman" w:cs="Times New Roman"/>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lvl w:ilvl="0">
      <w:start w:val="1"/>
      <w:numFmt w:val="decimal"/>
      <w:lvlText w:val="%1."/>
      <w:lvlJc w:val="left"/>
      <w:pPr>
        <w:tabs>
          <w:tab w:val="num" w:pos="432"/>
        </w:tabs>
        <w:ind w:left="432" w:hanging="432"/>
      </w:pPr>
      <w:rPr>
        <w:sz w:val="22"/>
        <w:b w:val="false"/>
        <w:szCs w:val="22"/>
      </w:rPr>
    </w:lvl>
    <w:lvl w:ilvl="1">
      <w:start w:val="1"/>
      <w:numFmt w:val="decimal"/>
      <w:lvlText w:val="%1.%2."/>
      <w:lvlJc w:val="left"/>
      <w:pPr>
        <w:tabs>
          <w:tab w:val="num" w:pos="576"/>
        </w:tabs>
        <w:ind w:left="576" w:hanging="576"/>
      </w:pPr>
      <w:rPr>
        <w:b w:val="false"/>
      </w:rPr>
    </w:lvl>
    <w:lvl w:ilvl="2">
      <w:start w:val="1"/>
      <w:numFmt w:val="decimal"/>
      <w:lvlText w:val="%1.%2.%3."/>
      <w:lvlJc w:val="left"/>
      <w:pPr>
        <w:tabs>
          <w:tab w:val="num" w:pos="170"/>
        </w:tabs>
        <w:ind w:left="720" w:hanging="720"/>
      </w:pPr>
      <w:rPr>
        <w:sz w:val="26"/>
        <w:i w:val="false"/>
        <w:b w:val="false"/>
        <w:szCs w:val="26"/>
        <w:iCs w:val="false"/>
        <w:bCs w:val="false"/>
        <w:rFonts w:ascii="Times New Roman" w:hAnsi="Times New Roman" w:cs="Times New Roman"/>
      </w:rPr>
    </w:lvl>
    <w:lvl w:ilvl="3">
      <w:start w:val="1"/>
      <w:numFmt w:val="decimal"/>
      <w:lvlText w:val="%1.%2.%3.%4."/>
      <w:lvlJc w:val="left"/>
      <w:pPr>
        <w:tabs>
          <w:tab w:val="num" w:pos="864"/>
        </w:tabs>
        <w:ind w:left="864" w:hanging="864"/>
      </w:pPr>
      <w:rPr>
        <w:sz w:val="26"/>
        <w:szCs w:val="26"/>
        <w:rFonts w:ascii="Times New Roman" w:hAnsi="Times New Roman" w:cs="Times New Roman"/>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lvl w:ilvl="0">
      <w:start w:val="1"/>
      <w:numFmt w:val="decimal"/>
      <w:lvlText w:val="%1."/>
      <w:lvlJc w:val="left"/>
      <w:pPr>
        <w:tabs>
          <w:tab w:val="num" w:pos="432"/>
        </w:tabs>
        <w:ind w:left="432" w:hanging="432"/>
      </w:pPr>
      <w:rPr>
        <w:sz w:val="22"/>
        <w:b w:val="false"/>
        <w:szCs w:val="22"/>
      </w:rPr>
    </w:lvl>
    <w:lvl w:ilvl="1">
      <w:start w:val="1"/>
      <w:numFmt w:val="decimal"/>
      <w:lvlText w:val="%1.%2."/>
      <w:lvlJc w:val="left"/>
      <w:pPr>
        <w:tabs>
          <w:tab w:val="num" w:pos="576"/>
        </w:tabs>
        <w:ind w:left="576" w:hanging="576"/>
      </w:pPr>
      <w:rPr>
        <w:b w:val="false"/>
      </w:rPr>
    </w:lvl>
    <w:lvl w:ilvl="2">
      <w:start w:val="1"/>
      <w:numFmt w:val="decimal"/>
      <w:lvlText w:val="%1.%2.%3."/>
      <w:lvlJc w:val="left"/>
      <w:pPr>
        <w:tabs>
          <w:tab w:val="num" w:pos="170"/>
        </w:tabs>
        <w:ind w:left="720" w:hanging="720"/>
      </w:pPr>
      <w:rPr>
        <w:sz w:val="26"/>
        <w:i w:val="false"/>
        <w:b w:val="false"/>
        <w:szCs w:val="26"/>
        <w:iCs w:val="false"/>
        <w:bCs w:val="false"/>
        <w:rFonts w:ascii="Times New Roman" w:hAnsi="Times New Roman" w:cs="Times New Roman"/>
      </w:rPr>
    </w:lvl>
    <w:lvl w:ilvl="3">
      <w:start w:val="1"/>
      <w:numFmt w:val="decimal"/>
      <w:lvlText w:val="%1.%2.%3.%4."/>
      <w:lvlJc w:val="left"/>
      <w:pPr>
        <w:tabs>
          <w:tab w:val="num" w:pos="864"/>
        </w:tabs>
        <w:ind w:left="864" w:hanging="864"/>
      </w:pPr>
      <w:rPr>
        <w:sz w:val="26"/>
        <w:szCs w:val="26"/>
        <w:rFonts w:ascii="Times New Roman" w:hAnsi="Times New Roman" w:cs="Times New Roman"/>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lvl w:ilvl="0">
      <w:start w:val="1"/>
      <w:numFmt w:val="decimal"/>
      <w:lvlText w:val="%1."/>
      <w:lvlJc w:val="left"/>
      <w:pPr>
        <w:tabs>
          <w:tab w:val="num" w:pos="432"/>
        </w:tabs>
        <w:ind w:left="432" w:hanging="432"/>
      </w:pPr>
      <w:rPr>
        <w:sz w:val="22"/>
        <w:b w:val="false"/>
        <w:szCs w:val="22"/>
      </w:rPr>
    </w:lvl>
    <w:lvl w:ilvl="1">
      <w:start w:val="1"/>
      <w:numFmt w:val="decimal"/>
      <w:lvlText w:val="%1.%2."/>
      <w:lvlJc w:val="left"/>
      <w:pPr>
        <w:tabs>
          <w:tab w:val="num" w:pos="576"/>
        </w:tabs>
        <w:ind w:left="576" w:hanging="576"/>
      </w:pPr>
      <w:rPr>
        <w:b w:val="false"/>
      </w:rPr>
    </w:lvl>
    <w:lvl w:ilvl="2">
      <w:start w:val="1"/>
      <w:numFmt w:val="decimal"/>
      <w:lvlText w:val="%1.%2.%3."/>
      <w:lvlJc w:val="left"/>
      <w:pPr>
        <w:tabs>
          <w:tab w:val="num" w:pos="170"/>
        </w:tabs>
        <w:ind w:left="720" w:hanging="720"/>
      </w:pPr>
      <w:rPr>
        <w:sz w:val="26"/>
        <w:i w:val="false"/>
        <w:b w:val="false"/>
        <w:szCs w:val="26"/>
        <w:iCs w:val="false"/>
        <w:bCs w:val="false"/>
        <w:rFonts w:ascii="Times New Roman" w:hAnsi="Times New Roman" w:cs="Times New Roman"/>
      </w:rPr>
    </w:lvl>
    <w:lvl w:ilvl="3">
      <w:start w:val="1"/>
      <w:numFmt w:val="decimal"/>
      <w:lvlText w:val="%1.%2.%3.%4."/>
      <w:lvlJc w:val="left"/>
      <w:pPr>
        <w:tabs>
          <w:tab w:val="num" w:pos="864"/>
        </w:tabs>
        <w:ind w:left="864" w:hanging="864"/>
      </w:pPr>
      <w:rPr>
        <w:sz w:val="26"/>
        <w:szCs w:val="26"/>
        <w:rFonts w:ascii="Times New Roman" w:hAnsi="Times New Roman" w:cs="Times New Roman"/>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fals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8"/>
    <w:lvlOverride w:ilvl="0">
      <w:startOverride w:val="1"/>
    </w:lvlOverride>
  </w:num>
  <w:num w:numId="11">
    <w:abstractNumId w:val="8"/>
  </w:num>
  <w:num w:numId="12">
    <w:abstractNumId w:val="8"/>
  </w:num>
  <w:num w:numId="13">
    <w:abstractNumId w:val="8"/>
  </w:num>
  <w:num w:numId="14">
    <w:abstractNumId w:val="8"/>
  </w:num>
  <w:num w:numId="15">
    <w:abstractNumId w:val="8"/>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96f7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Нижний колонтитул Знак"/>
    <w:basedOn w:val="DefaultParagraphFont"/>
    <w:uiPriority w:val="99"/>
    <w:qFormat/>
    <w:rsid w:val="003f044b"/>
    <w:rPr>
      <w:rFonts w:ascii="Times New Roman" w:hAnsi="Times New Roman" w:eastAsia="Times New Roman" w:cs="Times New Roman"/>
      <w:sz w:val="24"/>
      <w:szCs w:val="24"/>
      <w:lang w:eastAsia="ru-RU"/>
    </w:rPr>
  </w:style>
  <w:style w:type="character" w:styleId="Style15" w:customStyle="1">
    <w:name w:val="Текст выноски Знак"/>
    <w:basedOn w:val="DefaultParagraphFont"/>
    <w:uiPriority w:val="99"/>
    <w:semiHidden/>
    <w:qFormat/>
    <w:rsid w:val="00346b75"/>
    <w:rPr>
      <w:rFonts w:ascii="Tahoma" w:hAnsi="Tahoma" w:cs="Tahoma"/>
      <w:sz w:val="16"/>
      <w:szCs w:val="16"/>
    </w:rPr>
  </w:style>
  <w:style w:type="character" w:styleId="Style16">
    <w:name w:val="Интернет-ссылка"/>
    <w:basedOn w:val="DefaultParagraphFont"/>
    <w:uiPriority w:val="99"/>
    <w:unhideWhenUsed/>
    <w:rsid w:val="00fb3f97"/>
    <w:rPr>
      <w:color w:val="0000FF" w:themeColor="hyperlink"/>
      <w:u w:val="single"/>
    </w:rPr>
  </w:style>
  <w:style w:type="character" w:styleId="Style17" w:customStyle="1">
    <w:name w:val="Верхний колонтитул Знак"/>
    <w:basedOn w:val="DefaultParagraphFont"/>
    <w:link w:val="ae"/>
    <w:uiPriority w:val="99"/>
    <w:qFormat/>
    <w:rsid w:val="00f5142a"/>
    <w:rPr>
      <w:rFonts w:ascii="Times New Roman" w:hAnsi="Times New Roman" w:eastAsia="Times New Roman" w:cs="Times New Roman"/>
      <w:sz w:val="24"/>
      <w:szCs w:val="24"/>
      <w:lang w:eastAsia="ru-RU"/>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Style23" w:customStyle="1">
    <w:name w:val="Верхний и нижний колонтитулы"/>
    <w:basedOn w:val="Normal"/>
    <w:qFormat/>
    <w:pPr/>
    <w:rPr/>
  </w:style>
  <w:style w:type="paragraph" w:styleId="Style24">
    <w:name w:val="Footer"/>
    <w:basedOn w:val="Normal"/>
    <w:uiPriority w:val="99"/>
    <w:rsid w:val="003f044b"/>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BalloonText">
    <w:name w:val="Balloon Text"/>
    <w:basedOn w:val="Normal"/>
    <w:uiPriority w:val="99"/>
    <w:semiHidden/>
    <w:unhideWhenUsed/>
    <w:qFormat/>
    <w:rsid w:val="00346b75"/>
    <w:pPr>
      <w:spacing w:lineRule="auto" w:line="240" w:before="0" w:after="0"/>
    </w:pPr>
    <w:rPr>
      <w:rFonts w:ascii="Tahoma" w:hAnsi="Tahoma" w:cs="Tahoma"/>
      <w:sz w:val="16"/>
      <w:szCs w:val="16"/>
    </w:rPr>
  </w:style>
  <w:style w:type="paragraph" w:styleId="ConsPlusNonformat" w:customStyle="1">
    <w:name w:val="ConsPlusNonformat"/>
    <w:qFormat/>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25">
    <w:name w:val="Header"/>
    <w:basedOn w:val="Normal"/>
    <w:link w:val="af"/>
    <w:uiPriority w:val="99"/>
    <w:rsid w:val="00f5142a"/>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lck.yandex.ru/redir/nWO_r1F33ck?data=NnBZTWRhdFZKOHQxUjhzSWFYVGhXUlFPaDNlTmdYUWd5amo4ckUtd0F5TXRxVDhYYXlWWkhtaWI5WWtiUGx2Mk9nREtGVjJKS0VaVDJtcEE0cGZVZkcwTTlTblc5TkV2UWFmclZWdmktMzRzdm40RHZKcG14REM3aG1lSDN0LUdzMzdId1Q4SmFJQ3Axc2paR3hoNkM3LUtzeElMVEc2ekZZbTZpYU8wdGQw&amp;b64e=2&amp;sign=4feeef4e99e1802f623f7d2b431fcb5f&amp;keyno=17" TargetMode="External"/><Relationship Id="rId3" Type="http://schemas.openxmlformats.org/officeDocument/2006/relationships/hyperlink" Target="normacs://normacs.ru/UQPC?dob=41518.000023&amp;dol=41579.540845"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09F5A-ED18-4EBC-80A2-4600D113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Application>LibreOffice/7.1.5.2$Windows_X86_64 LibreOffice_project/85f04e9f809797b8199d13c421bd8a2b025d52b5</Application>
  <AppVersion>15.0000</AppVersion>
  <Pages>25</Pages>
  <Words>5796</Words>
  <Characters>42573</Characters>
  <CharactersWithSpaces>48081</CharactersWithSpaces>
  <Paragraphs>449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
  <dc:language>ru-RU</dc:language>
  <cp:lastModifiedBy/>
  <dcterms:modified xsi:type="dcterms:W3CDTF">2022-01-20T14:52:42Z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file>