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tabs>
          <w:tab w:val="clear" w:pos="708"/>
          <w:tab w:val="left" w:pos="992" w:leader="none"/>
        </w:tabs>
        <w:spacing w:lineRule="auto" w:line="360" w:before="120" w:after="120"/>
        <w:ind w:left="0" w:hanging="0"/>
        <w:jc w:val="center"/>
        <w:outlineLvl w:val="0"/>
        <w:rPr>
          <w:rFonts w:ascii="Times New Roman" w:hAnsi="Times New Roman"/>
        </w:rPr>
      </w:pPr>
      <w:r>
        <w:rPr>
          <w:rFonts w:eastAsia="Times New Roman" w:cs="Times New Roman" w:ascii="Times New Roman" w:hAnsi="Times New Roman"/>
          <w:b/>
          <w:bCs/>
          <w:sz w:val="24"/>
          <w:szCs w:val="24"/>
          <w:lang w:val="en-US" w:eastAsia="ru-RU"/>
        </w:rPr>
        <w:t>I</w:t>
      </w:r>
      <w:r>
        <w:rPr>
          <w:rFonts w:eastAsia="Times New Roman" w:cs="Times New Roman" w:ascii="Times New Roman" w:hAnsi="Times New Roman"/>
          <w:b/>
          <w:bCs/>
          <w:sz w:val="24"/>
          <w:szCs w:val="24"/>
          <w:lang w:eastAsia="ru-RU"/>
        </w:rPr>
        <w:t xml:space="preserve">. </w:t>
      </w:r>
      <w:r>
        <w:rPr>
          <w:rFonts w:eastAsia="Times New Roman" w:cs="Times New Roman" w:ascii="Times New Roman" w:hAnsi="Times New Roman"/>
          <w:b/>
          <w:bCs/>
          <w:iCs/>
          <w:smallCaps/>
          <w:sz w:val="24"/>
          <w:szCs w:val="24"/>
          <w:lang w:eastAsia="ru-RU"/>
        </w:rPr>
        <w:t>ИНФОРМАЦИОННАЯ КАРТА ЗАКУПКИ</w:t>
      </w:r>
    </w:p>
    <w:p>
      <w:pPr>
        <w:pStyle w:val="Normal"/>
        <w:numPr>
          <w:ilvl w:val="0"/>
          <w:numId w:val="0"/>
        </w:numPr>
        <w:tabs>
          <w:tab w:val="clear" w:pos="708"/>
          <w:tab w:val="left" w:pos="360" w:leader="none"/>
          <w:tab w:val="left" w:pos="4646" w:leader="none"/>
        </w:tabs>
        <w:spacing w:lineRule="auto" w:line="360" w:before="120" w:after="120"/>
        <w:ind w:left="0" w:firstLine="720"/>
        <w:jc w:val="center"/>
        <w:outlineLvl w:val="1"/>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bl>
      <w:tblPr>
        <w:tblW w:w="10466" w:type="dxa"/>
        <w:jc w:val="left"/>
        <w:tblInd w:w="-175" w:type="dxa"/>
        <w:tblLayout w:type="fixed"/>
        <w:tblCellMar>
          <w:top w:w="0" w:type="dxa"/>
          <w:left w:w="108" w:type="dxa"/>
          <w:bottom w:w="0" w:type="dxa"/>
          <w:right w:w="108" w:type="dxa"/>
        </w:tblCellMar>
        <w:tblLook w:firstRow="1" w:noVBand="0" w:lastRow="0" w:firstColumn="0" w:lastColumn="0" w:noHBand="0" w:val="0020"/>
      </w:tblPr>
      <w:tblGrid>
        <w:gridCol w:w="415"/>
        <w:gridCol w:w="2695"/>
        <w:gridCol w:w="7356"/>
      </w:tblGrid>
      <w:tr>
        <w:trPr>
          <w:tblHeader w:val="true"/>
          <w:trHeight w:val="2074" w:hRule="atLeast"/>
        </w:trPr>
        <w:tc>
          <w:tcPr>
            <w:tcW w:w="41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keepNext w:val="true"/>
              <w:keepLines/>
              <w:widowControl w:val="false"/>
              <w:suppressLineNumbers/>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w:t>
            </w:r>
          </w:p>
          <w:p>
            <w:pPr>
              <w:pStyle w:val="Normal"/>
              <w:keepNext w:val="true"/>
              <w:keepLines/>
              <w:widowControl w:val="false"/>
              <w:suppressLineNumbers/>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пункта</w:t>
            </w:r>
          </w:p>
        </w:tc>
        <w:tc>
          <w:tcPr>
            <w:tcW w:w="269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keepNext w:val="true"/>
              <w:keepLines/>
              <w:widowControl w:val="false"/>
              <w:suppressLineNumbers/>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Наименование</w:t>
            </w:r>
          </w:p>
        </w:tc>
        <w:tc>
          <w:tcPr>
            <w:tcW w:w="7356"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keepNext w:val="true"/>
              <w:keepLines/>
              <w:widowControl w:val="false"/>
              <w:suppressLineNumbers/>
              <w:spacing w:lineRule="auto" w:line="240" w:before="0" w:after="0"/>
              <w:ind w:firstLine="34"/>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Информация</w:t>
            </w:r>
          </w:p>
        </w:tc>
      </w:tr>
      <w:tr>
        <w:trPr/>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uto" w:line="240" w:before="0" w:after="6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2695"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Идентификационный код закупки:</w:t>
            </w:r>
          </w:p>
        </w:tc>
        <w:tc>
          <w:tcPr>
            <w:tcW w:w="7356"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pacing w:lineRule="auto" w:line="240" w:before="0" w:after="0"/>
              <w:rPr>
                <w:rFonts w:ascii="Times New Roman" w:hAnsi="Times New Roman" w:eastAsia="Times New Roman" w:cs="Times New Roman"/>
                <w:sz w:val="24"/>
                <w:szCs w:val="24"/>
                <w:shd w:fill="FFFF00" w:val="clear"/>
                <w:lang w:eastAsia="ru-RU"/>
              </w:rPr>
            </w:pPr>
            <w:r>
              <w:rPr>
                <w:rFonts w:eastAsia="Times New Roman" w:cs="Times New Roman" w:ascii="Times New Roman" w:hAnsi="Times New Roman"/>
                <w:sz w:val="24"/>
                <w:szCs w:val="24"/>
                <w:lang w:eastAsia="zh-CN"/>
              </w:rPr>
              <w:t>223910600268591060100100530004211243</w:t>
            </w:r>
          </w:p>
        </w:tc>
      </w:tr>
      <w:tr>
        <w:trPr/>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uto" w:line="240" w:before="0" w:after="6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2695"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Наименование Муниципального заказчика/Заказчика, контактная информация</w:t>
            </w:r>
          </w:p>
        </w:tc>
        <w:tc>
          <w:tcPr>
            <w:tcW w:w="7356"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Наименование: Администрация города Армянска</w:t>
            </w:r>
          </w:p>
          <w:p>
            <w:pPr>
              <w:pStyle w:val="Normal"/>
              <w:keepNext w:val="true"/>
              <w:keepLines/>
              <w:widowControl w:val="false"/>
              <w:suppressLineNumbers/>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Республики Крым</w:t>
            </w:r>
          </w:p>
          <w:p>
            <w:pPr>
              <w:pStyle w:val="Normal"/>
              <w:keepNext w:val="true"/>
              <w:keepLines/>
              <w:widowControl w:val="false"/>
              <w:suppressLineNumbers/>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Юридический адрес: 296012, Республики Крым, г.Армянск, ул. Симферопольская, 7.</w:t>
            </w:r>
          </w:p>
          <w:p>
            <w:pPr>
              <w:pStyle w:val="Normal"/>
              <w:keepNext w:val="true"/>
              <w:keepLines/>
              <w:widowControl w:val="false"/>
              <w:suppressLineNumbers/>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Место нахождения (фактический адрес): 296012, Республики Крым, г.Армянск, ул. Симферопольская, 7.</w:t>
            </w:r>
          </w:p>
          <w:p>
            <w:pPr>
              <w:pStyle w:val="Normal"/>
              <w:keepNext w:val="true"/>
              <w:keepLines/>
              <w:widowControl w:val="false"/>
              <w:suppressLineNumbers/>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Почтовый адрес: 296012, Республики Крым, г.Армянск, ул. Симферопольская, 7.</w:t>
            </w:r>
          </w:p>
          <w:p>
            <w:pPr>
              <w:pStyle w:val="Normal"/>
              <w:keepNext w:val="true"/>
              <w:keepLines/>
              <w:widowControl w:val="false"/>
              <w:suppressLineNumbers/>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Адрес электронной почты: arm.adm.zakup@yandex.ru</w:t>
            </w:r>
          </w:p>
          <w:p>
            <w:pPr>
              <w:pStyle w:val="Normal"/>
              <w:keepNext w:val="true"/>
              <w:keepLines/>
              <w:widowControl w:val="false"/>
              <w:suppressLineNumbers/>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Телефон 0-36567-34673</w:t>
            </w:r>
          </w:p>
          <w:p>
            <w:pPr>
              <w:pStyle w:val="Normal"/>
              <w:keepNext w:val="true"/>
              <w:keepLines/>
              <w:widowControl w:val="false"/>
              <w:suppressLineNumbers/>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ОГРН 1149102100542</w:t>
            </w:r>
          </w:p>
          <w:p>
            <w:pPr>
              <w:pStyle w:val="Normal"/>
              <w:keepNext w:val="true"/>
              <w:keepLines/>
              <w:widowControl w:val="false"/>
              <w:suppressLineNumbers/>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ИНН 9106002685</w:t>
            </w:r>
          </w:p>
        </w:tc>
      </w:tr>
      <w:tr>
        <w:trPr/>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695"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pacing w:lineRule="auto" w:line="240" w:before="0" w:after="12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Информация о Контрактной службе заказчика, Контрактном управляющем,  ответственных за заключение Контракта</w:t>
            </w:r>
          </w:p>
        </w:tc>
        <w:tc>
          <w:tcPr>
            <w:tcW w:w="7356"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pacing w:lineRule="auto" w:line="240" w:before="0" w:after="0"/>
              <w:ind w:firstLine="34"/>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Контрактная  службы без образования отдельного структурного подразделения в администрации города Армянска Республики Крым, утверждена постановлением администрации №813 от 03.11.2017 Место нахождения: 296012, Республики Крым, г.Армянск, ул. Симферопольская, 7</w:t>
            </w:r>
          </w:p>
          <w:p>
            <w:pPr>
              <w:pStyle w:val="Normal"/>
              <w:keepNext w:val="true"/>
              <w:keepLines/>
              <w:widowControl w:val="false"/>
              <w:suppressLineNumbers/>
              <w:spacing w:lineRule="auto" w:line="240" w:before="0" w:after="0"/>
              <w:ind w:firstLine="34"/>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Руководитель Николаенко Анжела Александровна, тел.0-36567-34673</w:t>
            </w:r>
          </w:p>
          <w:p>
            <w:pPr>
              <w:pStyle w:val="Normal"/>
              <w:keepNext w:val="true"/>
              <w:keepLines/>
              <w:widowControl w:val="false"/>
              <w:suppressLineNumber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Адрес электронной почты: arm.adm.zakup@yandex.ru</w:t>
            </w:r>
          </w:p>
        </w:tc>
      </w:tr>
      <w:tr>
        <w:trPr>
          <w:trHeight w:val="1380" w:hRule="atLeast"/>
        </w:trPr>
        <w:tc>
          <w:tcPr>
            <w:tcW w:w="415" w:type="dxa"/>
            <w:tcBorders>
              <w:top w:val="single" w:sz="4" w:space="0" w:color="000000"/>
              <w:left w:val="single" w:sz="4" w:space="0" w:color="000000"/>
              <w:right w:val="single" w:sz="4" w:space="0" w:color="000000"/>
            </w:tcBorders>
          </w:tcPr>
          <w:p>
            <w:pPr>
              <w:pStyle w:val="Normal"/>
              <w:widowControl w:val="false"/>
              <w:numPr>
                <w:ilvl w:val="0"/>
                <w:numId w:val="1"/>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bookmarkStart w:id="0" w:name="_Ref166267388"/>
            <w:bookmarkStart w:id="1" w:name="_Ref166267388"/>
            <w:bookmarkEnd w:id="1"/>
          </w:p>
        </w:tc>
        <w:tc>
          <w:tcPr>
            <w:tcW w:w="2695" w:type="dxa"/>
            <w:tcBorders>
              <w:top w:val="single" w:sz="4" w:space="0" w:color="000000"/>
              <w:left w:val="single" w:sz="4" w:space="0" w:color="000000"/>
              <w:right w:val="single" w:sz="4" w:space="0" w:color="000000"/>
            </w:tcBorders>
          </w:tcPr>
          <w:p>
            <w:pPr>
              <w:pStyle w:val="Normal"/>
              <w:keepNext w:val="true"/>
              <w:keepLines/>
              <w:widowControl w:val="false"/>
              <w:suppressLineNumber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Адрес электронной площадки в информационно-телекоммуникационной сети «Интернет»</w:t>
            </w:r>
          </w:p>
        </w:tc>
        <w:tc>
          <w:tcPr>
            <w:tcW w:w="7356" w:type="dxa"/>
            <w:tcBorders>
              <w:top w:val="single" w:sz="4" w:space="0" w:color="000000"/>
              <w:left w:val="single" w:sz="4" w:space="0" w:color="000000"/>
              <w:right w:val="single" w:sz="4" w:space="0" w:color="000000"/>
            </w:tcBorders>
          </w:tcPr>
          <w:p>
            <w:pPr>
              <w:pStyle w:val="Normal"/>
              <w:widowControl w:val="false"/>
              <w:shd w:val="clear" w:color="auto" w:fill="FFFFFF"/>
              <w:spacing w:lineRule="auto" w:line="240" w:before="0" w:after="0"/>
              <w:ind w:firstLine="34"/>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http://armgov.ru/</w:t>
            </w:r>
          </w:p>
          <w:p>
            <w:pPr>
              <w:pStyle w:val="Normal"/>
              <w:widowControl w:val="false"/>
              <w:shd w:val="clear" w:color="auto" w:fill="FFFFFF"/>
              <w:spacing w:lineRule="auto" w:line="240" w:before="0" w:after="0"/>
              <w:ind w:firstLine="34"/>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widowControl w:val="false"/>
              <w:shd w:val="clear" w:color="auto" w:fill="FFFFFF"/>
              <w:spacing w:lineRule="auto" w:line="240" w:before="0" w:after="0"/>
              <w:ind w:firstLine="34"/>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r>
      <w:tr>
        <w:trPr/>
        <w:tc>
          <w:tcPr>
            <w:tcW w:w="415" w:type="dxa"/>
            <w:tcBorders>
              <w:left w:val="single" w:sz="4" w:space="0" w:color="000000"/>
              <w:bottom w:val="single" w:sz="4" w:space="0" w:color="000000"/>
              <w:right w:val="single" w:sz="4" w:space="0" w:color="000000"/>
            </w:tcBorders>
          </w:tcPr>
          <w:p>
            <w:pPr>
              <w:pStyle w:val="Normal"/>
              <w:widowControl w:val="false"/>
              <w:numPr>
                <w:ilvl w:val="0"/>
                <w:numId w:val="1"/>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695"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Наименование объекта закупки (предмет Контракта)</w:t>
            </w:r>
          </w:p>
        </w:tc>
        <w:tc>
          <w:tcPr>
            <w:tcW w:w="7356"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pacing w:lineRule="auto" w:line="240" w:before="0" w:after="0"/>
              <w:ind w:firstLine="34"/>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Выполнение работ по объекту: «Капитальный ремонт дворовых и прилегающих территорий к домам 9,10,11,12,13 мкн. им. ген. Васильева города Армянска»</w:t>
            </w:r>
          </w:p>
        </w:tc>
      </w:tr>
      <w:tr>
        <w:trPr>
          <w:trHeight w:val="631" w:hRule="atLeast"/>
        </w:trPr>
        <w:tc>
          <w:tcPr>
            <w:tcW w:w="4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bookmarkStart w:id="2" w:name="_Ref166267499"/>
            <w:bookmarkStart w:id="3" w:name="_Ref166267456"/>
            <w:bookmarkStart w:id="4" w:name="_Ref166267499"/>
            <w:bookmarkStart w:id="5" w:name="_Ref166267456"/>
            <w:bookmarkEnd w:id="4"/>
            <w:bookmarkEnd w:id="5"/>
          </w:p>
        </w:tc>
        <w:tc>
          <w:tcPr>
            <w:tcW w:w="26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Описание объекта закупки</w:t>
            </w:r>
          </w:p>
        </w:tc>
        <w:tc>
          <w:tcPr>
            <w:tcW w:w="73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 разделе </w:t>
            </w:r>
            <w:r>
              <w:rPr>
                <w:rFonts w:eastAsia="Times New Roman" w:cs="Times New Roman" w:ascii="Times New Roman" w:hAnsi="Times New Roman"/>
                <w:b/>
                <w:bCs/>
                <w:sz w:val="24"/>
                <w:szCs w:val="24"/>
                <w:lang w:eastAsia="ru-RU"/>
              </w:rPr>
              <w:t>II. ОПИСАНИЕ ОБЪЕКТА ЗАКУПКИ (ТЕХНИЧЕСКОЕ ЗАДАНИЕ)</w:t>
            </w:r>
          </w:p>
        </w:tc>
      </w:tr>
      <w:tr>
        <w:trPr>
          <w:trHeight w:val="453" w:hRule="atLeast"/>
        </w:trPr>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695"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Место доставки товара, выполнения работ, оказания услуг</w:t>
            </w:r>
          </w:p>
        </w:tc>
        <w:tc>
          <w:tcPr>
            <w:tcW w:w="7356"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pacing w:lineRule="auto" w:line="240" w:before="0" w:after="0"/>
              <w:ind w:firstLine="34"/>
              <w:rPr>
                <w:rFonts w:ascii="Times New Roman" w:hAnsi="Times New Roman" w:eastAsia="Times New Roman" w:cs="Times New Roman"/>
                <w:sz w:val="24"/>
                <w:szCs w:val="24"/>
                <w:lang w:eastAsia="ru-RU"/>
              </w:rPr>
            </w:pPr>
            <w:bookmarkStart w:id="6" w:name="_GoBack"/>
            <w:r>
              <w:rPr>
                <w:rFonts w:eastAsia="Times New Roman" w:cs="Times New Roman" w:ascii="Times New Roman" w:hAnsi="Times New Roman"/>
                <w:sz w:val="24"/>
                <w:szCs w:val="24"/>
                <w:lang w:eastAsia="ru-RU"/>
              </w:rPr>
              <w:t>296012 Республика Крым, г. Армянск, мкн.им.ген. Васильева</w:t>
            </w:r>
            <w:bookmarkEnd w:id="6"/>
          </w:p>
        </w:tc>
      </w:tr>
      <w:tr>
        <w:trPr/>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695"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Срок выполнения Работ</w:t>
            </w:r>
          </w:p>
        </w:tc>
        <w:tc>
          <w:tcPr>
            <w:tcW w:w="7356"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tabs>
                <w:tab w:val="clear" w:pos="708"/>
                <w:tab w:val="left" w:pos="6015" w:leader="none"/>
                <w:tab w:val="left" w:pos="6090" w:leader="none"/>
                <w:tab w:val="right" w:pos="7267" w:leader="none"/>
                <w:tab w:val="center" w:pos="7622" w:leader="none"/>
                <w:tab w:val="right" w:pos="9451" w:leader="none"/>
              </w:tabs>
              <w:spacing w:lineRule="atLeast" w:line="240" w:before="0" w:after="60"/>
              <w:contextualSpacing/>
              <w:jc w:val="both"/>
              <w:rPr>
                <w:rFonts w:ascii="Times New Roman" w:hAnsi="Times New Roman" w:eastAsia="Droid Sans Fallback" w:cs="Times New Roman"/>
                <w:sz w:val="24"/>
                <w:szCs w:val="24"/>
                <w:lang w:eastAsia="zh-CN" w:bidi="hi-IN"/>
              </w:rPr>
            </w:pPr>
            <w:r>
              <w:rPr>
                <w:rFonts w:eastAsia="Droid Sans Fallback" w:cs="Times New Roman" w:ascii="Times New Roman" w:hAnsi="Times New Roman"/>
                <w:sz w:val="24"/>
                <w:szCs w:val="24"/>
                <w:lang w:eastAsia="zh-CN" w:bidi="hi-IN"/>
              </w:rPr>
              <w:t>Срок начала выполнения работ: со дня заключения контракта</w:t>
            </w:r>
          </w:p>
          <w:p>
            <w:pPr>
              <w:pStyle w:val="Normal"/>
              <w:widowControl w:val="false"/>
              <w:shd w:val="clear" w:color="auto" w:fill="FFFFFF"/>
              <w:tabs>
                <w:tab w:val="clear" w:pos="708"/>
                <w:tab w:val="left" w:pos="6015" w:leader="none"/>
                <w:tab w:val="left" w:pos="6090" w:leader="none"/>
                <w:tab w:val="right" w:pos="7267" w:leader="none"/>
                <w:tab w:val="center" w:pos="7622" w:leader="none"/>
                <w:tab w:val="right" w:pos="9451" w:leader="none"/>
              </w:tabs>
              <w:spacing w:lineRule="atLeast" w:line="240" w:before="0" w:after="60"/>
              <w:contextualSpacing/>
              <w:jc w:val="both"/>
              <w:rPr>
                <w:rFonts w:ascii="Times New Roman" w:hAnsi="Times New Roman" w:eastAsia="Droid Sans Fallback" w:cs="Times New Roman"/>
                <w:sz w:val="24"/>
                <w:szCs w:val="24"/>
                <w:lang w:eastAsia="zh-CN" w:bidi="hi-IN"/>
              </w:rPr>
            </w:pPr>
            <w:r>
              <w:rPr>
                <w:rFonts w:eastAsia="Droid Sans Fallback" w:cs="Times New Roman" w:ascii="Times New Roman" w:hAnsi="Times New Roman"/>
                <w:sz w:val="24"/>
                <w:szCs w:val="24"/>
                <w:lang w:eastAsia="zh-CN" w:bidi="hi-IN"/>
              </w:rPr>
              <w:t>Срок завершения работ на объекте: до 01 июля 2022 года.</w:t>
            </w:r>
          </w:p>
          <w:p>
            <w:pPr>
              <w:pStyle w:val="Normal"/>
              <w:widowControl w:val="false"/>
              <w:shd w:val="clear" w:color="auto" w:fill="FFFFFF"/>
              <w:tabs>
                <w:tab w:val="clear" w:pos="708"/>
                <w:tab w:val="left" w:pos="6015" w:leader="none"/>
                <w:tab w:val="left" w:pos="6090" w:leader="none"/>
                <w:tab w:val="right" w:pos="7267" w:leader="none"/>
                <w:tab w:val="center" w:pos="7622" w:leader="none"/>
                <w:tab w:val="right" w:pos="9451" w:leader="none"/>
              </w:tabs>
              <w:spacing w:lineRule="atLeast" w:line="240" w:before="0" w:after="60"/>
              <w:contextualSpacing/>
              <w:jc w:val="both"/>
              <w:rPr>
                <w:rFonts w:ascii="Times New Roman" w:hAnsi="Times New Roman" w:eastAsia="Droid Sans Fallback" w:cs="Times New Roman"/>
                <w:sz w:val="24"/>
                <w:szCs w:val="24"/>
                <w:lang w:eastAsia="zh-CN" w:bidi="hi-IN"/>
              </w:rPr>
            </w:pPr>
            <w:r>
              <w:rPr>
                <w:rFonts w:eastAsia="Droid Sans Fallback" w:cs="Times New Roman" w:ascii="Times New Roman" w:hAnsi="Times New Roman"/>
                <w:sz w:val="24"/>
                <w:szCs w:val="24"/>
                <w:lang w:eastAsia="zh-CN" w:bidi="hi-IN"/>
              </w:rPr>
              <w:t>По Контракту допускается досрочное выполнение работ.</w:t>
            </w:r>
          </w:p>
        </w:tc>
      </w:tr>
      <w:tr>
        <w:trPr/>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6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Начальная (максимальная) цена Контракта (далее – НМЦК)</w:t>
            </w:r>
          </w:p>
        </w:tc>
        <w:tc>
          <w:tcPr>
            <w:tcW w:w="7356"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ind w:firstLine="34"/>
              <w:jc w:val="both"/>
              <w:rPr>
                <w:rFonts w:ascii="Times New Roman" w:hAnsi="Times New Roman"/>
                <w:b/>
                <w:b/>
                <w:highlight w:val="yellow"/>
              </w:rPr>
            </w:pPr>
            <w:r>
              <w:rPr>
                <w:rFonts w:eastAsia="Times New Roman" w:cs="Times New Roman" w:ascii="Times New Roman" w:hAnsi="Times New Roman"/>
                <w:b/>
                <w:sz w:val="24"/>
                <w:szCs w:val="24"/>
                <w:lang w:eastAsia="ru-RU"/>
              </w:rPr>
              <w:t>19 581 320,00 рублей (девятнадцать миллионов пятьсот восемьдесят одна тысяча триста двадцать рублей 00 копеек)</w:t>
            </w:r>
          </w:p>
        </w:tc>
      </w:tr>
      <w:tr>
        <w:trPr/>
        <w:tc>
          <w:tcPr>
            <w:tcW w:w="415" w:type="dxa"/>
            <w:tcBorders>
              <w:left w:val="single" w:sz="4" w:space="0" w:color="000000"/>
              <w:bottom w:val="single" w:sz="4" w:space="0" w:color="000000"/>
              <w:right w:val="single" w:sz="4" w:space="0" w:color="000000"/>
            </w:tcBorders>
          </w:tcPr>
          <w:p>
            <w:pPr>
              <w:pStyle w:val="Normal"/>
              <w:widowControl w:val="false"/>
              <w:numPr>
                <w:ilvl w:val="0"/>
                <w:numId w:val="1"/>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695"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Обоснование начальной (максимальной) цены Контракта</w:t>
            </w:r>
          </w:p>
        </w:tc>
        <w:tc>
          <w:tcPr>
            <w:tcW w:w="7356" w:type="dxa"/>
            <w:tcBorders>
              <w:left w:val="single" w:sz="4" w:space="0" w:color="000000"/>
              <w:bottom w:val="single" w:sz="4" w:space="0" w:color="000000"/>
              <w:right w:val="single" w:sz="4" w:space="0" w:color="000000"/>
            </w:tcBorders>
          </w:tcPr>
          <w:p>
            <w:pPr>
              <w:pStyle w:val="Normal"/>
              <w:widowControl w:val="false"/>
              <w:spacing w:lineRule="auto" w:line="240" w:before="0" w:after="0"/>
              <w:ind w:firstLine="34"/>
              <w:rPr>
                <w:rFonts w:ascii="Times New Roman" w:hAnsi="Times New Roman"/>
              </w:rPr>
            </w:pPr>
            <w:r>
              <w:rPr>
                <w:rFonts w:ascii="Times New Roman" w:hAnsi="Times New Roman"/>
                <w:b/>
                <w:bCs/>
                <w:sz w:val="24"/>
                <w:szCs w:val="24"/>
              </w:rPr>
              <w:t>Раздел</w:t>
            </w:r>
            <w:r>
              <w:rPr>
                <w:rFonts w:ascii="Times New Roman" w:hAnsi="Times New Roman"/>
              </w:rPr>
              <w:t xml:space="preserve"> </w:t>
            </w:r>
            <w:r>
              <w:rPr>
                <w:rFonts w:ascii="Times New Roman" w:hAnsi="Times New Roman"/>
                <w:b/>
                <w:bCs/>
                <w:sz w:val="24"/>
                <w:szCs w:val="24"/>
                <w:lang w:val="en-US"/>
              </w:rPr>
              <w:t>III</w:t>
            </w:r>
            <w:r>
              <w:rPr>
                <w:rFonts w:ascii="Times New Roman" w:hAnsi="Times New Roman"/>
                <w:b/>
                <w:bCs/>
                <w:sz w:val="24"/>
                <w:szCs w:val="24"/>
              </w:rPr>
              <w:t>. ОБОСНОВАНИЕ НАЧАЛЬНОЙ (МАКСИМАЛЬНОЙ) ЦЕНЫ КОНТРАКТА</w:t>
            </w:r>
          </w:p>
        </w:tc>
      </w:tr>
      <w:tr>
        <w:trPr>
          <w:trHeight w:val="653" w:hRule="atLeast"/>
        </w:trPr>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6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Форма, сроки и порядок оплаты товара, работ, услуг</w:t>
            </w:r>
          </w:p>
        </w:tc>
        <w:tc>
          <w:tcPr>
            <w:tcW w:w="73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Оплата результата выполненных работ производится Заказчиком путем перечисления денежных средств на расчетный счет Подрядчика, указанный в Контракте, по факту выполнения работ в течение 15 (пятнадцати) рабочих дней с даты подписания Заказчиком акта о приемке выполненных работ по форме № КС-2 (оформленного согласно постановлению Госкомстата России от 11.11.99 г.№100) без замечаний со стороны Заказчика, справки о стоимости выполненных работ и затрат по форме № КС-3 (оформленного согласно постановлению Госкомстата России от 11.11.99 г.№100), комплекта исполнительной документации на выполненные Работы в составе и объеме, предусмотренном законодательством Российской Федерации и Контрактом, в том числе на электронном носителе, с приложением перечня входящих в ее состав документов, на основании представленных Подрядчиком счета и счета-фактуры (в случаях, предусмотренных законодательством Российской Федерации).</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Окончательная оплата производится на основании акта о приемке выполненных работ (по форме КС-2), справки о стоимости выполненных работ и затрат (по форме КС-3) и акта приемки законченного строительством объекта (по форме КС-11, утвержденного в 2-х экземплярах и оформленного согласно постановлению Постановлением Госкомстата России  от  30.10.97 №71а), комплекта исполнительной документации на выполненные Работы в составе и объеме, предусмотренном Приказом Ростехнадзора от 26.12.2006 N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и Контрактом, в том числе на электронном носителе, с приложением перечня входящих в ее состав документов и выставленного счета.</w:t>
            </w:r>
          </w:p>
        </w:tc>
      </w:tr>
      <w:tr>
        <w:trPr>
          <w:trHeight w:val="986" w:hRule="atLeast"/>
        </w:trPr>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6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Размер аванса и порядок его предоставления</w:t>
            </w:r>
          </w:p>
        </w:tc>
        <w:tc>
          <w:tcPr>
            <w:tcW w:w="73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Аванс не предусмотрен</w:t>
            </w:r>
          </w:p>
          <w:p>
            <w:pPr>
              <w:pStyle w:val="Normal"/>
              <w:widowControl w:val="false"/>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695"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Источник финансирования</w:t>
            </w:r>
          </w:p>
        </w:tc>
        <w:tc>
          <w:tcPr>
            <w:tcW w:w="7356"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spacing w:lineRule="auto" w:line="240" w:before="0" w:after="0"/>
              <w:ind w:firstLine="3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Источник финансирования – бюджет муниципального образования городской округ Армянск Республики Крым (в соответствии с соглашением о предоставлении и расходовании в _____ году субсидии из бюджета Республики Крым бюджету муниципального образования городской округ Армянск Республики Крым в целях софинансирования мероприятий по благоустройству территорий № ________________ от _______20___г.</w:t>
            </w:r>
          </w:p>
        </w:tc>
      </w:tr>
      <w:tr>
        <w:trPr/>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695"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Сведения о валюте, используемой для формирования цены Контракта и расчетов с Подрядчиками (исполнителями, подрядчиками)</w:t>
            </w:r>
          </w:p>
        </w:tc>
        <w:tc>
          <w:tcPr>
            <w:tcW w:w="73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Российский рубль</w:t>
            </w:r>
          </w:p>
        </w:tc>
      </w:tr>
      <w:tr>
        <w:trPr/>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695"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3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 применяется</w:t>
            </w:r>
            <w:bookmarkStart w:id="7" w:name="OLE_LINK1"/>
            <w:bookmarkStart w:id="8" w:name="OLE_LINK2"/>
            <w:bookmarkEnd w:id="7"/>
            <w:bookmarkEnd w:id="8"/>
          </w:p>
          <w:p>
            <w:pPr>
              <w:pStyle w:val="Normal"/>
              <w:widowControl w:val="false"/>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695"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Место и порядок подачи заявок участников</w:t>
            </w:r>
          </w:p>
        </w:tc>
        <w:tc>
          <w:tcPr>
            <w:tcW w:w="73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На бумажном носителе.</w:t>
            </w:r>
          </w:p>
          <w:p>
            <w:pPr>
              <w:pStyle w:val="Normal"/>
              <w:widowControl w:val="false"/>
              <w:spacing w:lineRule="auto" w:line="240" w:before="0" w:after="0"/>
              <w:rPr>
                <w:rFonts w:ascii="Times New Roman" w:hAnsi="Times New Roman" w:cs="Times New Roman"/>
                <w:sz w:val="24"/>
                <w:szCs w:val="24"/>
                <w:shd w:fill="auto" w:val="clear"/>
              </w:rPr>
            </w:pPr>
            <w:r>
              <w:rPr>
                <w:rFonts w:cs="Times New Roman" w:ascii="Times New Roman" w:hAnsi="Times New Roman"/>
                <w:sz w:val="24"/>
                <w:szCs w:val="24"/>
                <w:shd w:fill="auto" w:val="clear"/>
              </w:rPr>
              <w:t>г. Армянск,  ул. Симферопольская, 7, каб. 18,</w:t>
            </w:r>
          </w:p>
          <w:p>
            <w:pPr>
              <w:pStyle w:val="Normal"/>
              <w:widowControl w:val="false"/>
              <w:spacing w:lineRule="auto" w:line="240" w:before="0" w:after="0"/>
              <w:rPr>
                <w:rFonts w:ascii="Times New Roman" w:hAnsi="Times New Roman" w:cs="Times New Roman"/>
                <w:sz w:val="24"/>
                <w:szCs w:val="24"/>
                <w:shd w:fill="auto" w:val="clear"/>
              </w:rPr>
            </w:pPr>
            <w:r>
              <w:rPr>
                <w:rFonts w:cs="Times New Roman" w:ascii="Times New Roman" w:hAnsi="Times New Roman"/>
                <w:sz w:val="24"/>
                <w:szCs w:val="24"/>
                <w:shd w:fill="auto" w:val="clear"/>
              </w:rPr>
              <w:t>с 19 января 2022г. до 08часов 00 минут по московскому времени 25 января 2022 г.</w:t>
            </w:r>
          </w:p>
          <w:p>
            <w:pPr>
              <w:pStyle w:val="Normal"/>
              <w:widowControl w:val="false"/>
              <w:spacing w:lineRule="auto" w:line="240" w:before="0" w:after="0"/>
              <w:rPr>
                <w:shd w:fill="FFFF00" w:val="clear"/>
                <w:lang w:eastAsia="ru-RU"/>
              </w:rPr>
            </w:pPr>
            <w:r>
              <w:rPr>
                <w:rFonts w:cs="Times New Roman" w:ascii="Times New Roman" w:hAnsi="Times New Roman"/>
                <w:sz w:val="24"/>
                <w:szCs w:val="24"/>
              </w:rPr>
              <w:t>время работы: понедельник-пятница с 8-00ч. до 17-00ч., перерыв с 12-00ч. до 13-00ч</w:t>
            </w:r>
          </w:p>
        </w:tc>
      </w:tr>
    </w:tbl>
    <w:p>
      <w:pPr>
        <w:sectPr>
          <w:type w:val="nextPage"/>
          <w:pgSz w:w="11906" w:h="16838"/>
          <w:pgMar w:left="851" w:right="567" w:header="0" w:top="142" w:footer="0" w:bottom="284" w:gutter="0"/>
          <w:pgNumType w:fmt="decimal"/>
          <w:formProt w:val="false"/>
          <w:titlePg/>
          <w:textDirection w:val="lrTb"/>
          <w:docGrid w:type="default" w:linePitch="326" w:charSpace="12288"/>
        </w:sectPr>
      </w:pPr>
    </w:p>
    <w:p>
      <w:pPr>
        <w:pStyle w:val="Normal"/>
        <w:numPr>
          <w:ilvl w:val="0"/>
          <w:numId w:val="0"/>
        </w:numPr>
        <w:spacing w:lineRule="auto" w:line="240" w:before="0" w:after="0"/>
        <w:ind w:left="0" w:hanging="0"/>
        <w:jc w:val="center"/>
        <w:outlineLvl w:val="1"/>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numPr>
          <w:ilvl w:val="0"/>
          <w:numId w:val="0"/>
        </w:numPr>
        <w:spacing w:lineRule="auto" w:line="240" w:before="0" w:after="0"/>
        <w:ind w:left="0" w:hanging="0"/>
        <w:jc w:val="center"/>
        <w:outlineLvl w:val="1"/>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numPr>
          <w:ilvl w:val="0"/>
          <w:numId w:val="0"/>
        </w:numPr>
        <w:spacing w:lineRule="auto" w:line="240" w:before="0" w:after="0"/>
        <w:ind w:left="0" w:hanging="0"/>
        <w:jc w:val="center"/>
        <w:outlineLvl w:val="1"/>
        <w:rPr>
          <w:rFonts w:ascii="Times New Roman" w:hAnsi="Times New Roman"/>
        </w:rPr>
      </w:pPr>
      <w:r>
        <w:rPr>
          <w:rFonts w:eastAsia="Times New Roman" w:cs="Times New Roman" w:ascii="Times New Roman" w:hAnsi="Times New Roman"/>
          <w:b/>
          <w:sz w:val="24"/>
          <w:szCs w:val="24"/>
          <w:lang w:eastAsia="ru-RU"/>
        </w:rPr>
        <w:t>ЕДИНЫЕ ТРЕБОВАНИЯ К УЧАСТНИКАМ ЗАКУПКИ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10715" w:type="dxa"/>
        <w:jc w:val="left"/>
        <w:tblInd w:w="-175" w:type="dxa"/>
        <w:tblLayout w:type="fixed"/>
        <w:tblCellMar>
          <w:top w:w="0" w:type="dxa"/>
          <w:left w:w="108" w:type="dxa"/>
          <w:bottom w:w="0" w:type="dxa"/>
          <w:right w:w="108" w:type="dxa"/>
        </w:tblCellMar>
        <w:tblLook w:firstRow="1" w:noVBand="0" w:lastRow="0" w:firstColumn="0" w:lastColumn="0" w:noHBand="0" w:val="0020"/>
      </w:tblPr>
      <w:tblGrid>
        <w:gridCol w:w="675"/>
        <w:gridCol w:w="3004"/>
        <w:gridCol w:w="7036"/>
      </w:tblGrid>
      <w:tr>
        <w:trPr>
          <w:tblHeader w:val="true"/>
          <w:trHeight w:val="326" w:hRule="atLeast"/>
        </w:trPr>
        <w:tc>
          <w:tcPr>
            <w:tcW w:w="675"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6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xml:space="preserve">№ </w:t>
            </w:r>
            <w:r>
              <w:rPr>
                <w:rFonts w:eastAsia="Times New Roman" w:cs="Times New Roman" w:ascii="Times New Roman" w:hAnsi="Times New Roman"/>
                <w:b/>
                <w:bCs/>
                <w:sz w:val="24"/>
                <w:szCs w:val="24"/>
                <w:lang w:eastAsia="ru-RU"/>
              </w:rPr>
              <w:t>пункта</w:t>
            </w:r>
          </w:p>
        </w:tc>
        <w:tc>
          <w:tcPr>
            <w:tcW w:w="3004"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keepNext w:val="true"/>
              <w:keepLines/>
              <w:widowControl w:val="false"/>
              <w:suppressLineNumbers/>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Наименование</w:t>
            </w:r>
          </w:p>
        </w:tc>
        <w:tc>
          <w:tcPr>
            <w:tcW w:w="7036"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keepNext w:val="true"/>
              <w:keepLines/>
              <w:widowControl w:val="false"/>
              <w:suppressLineNumbers/>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Информация</w:t>
            </w:r>
          </w:p>
        </w:tc>
      </w:tr>
      <w:tr>
        <w:trPr>
          <w:trHeight w:val="1206" w:hRule="atLeast"/>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3004"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Единые требования к участникам закупки</w:t>
            </w:r>
          </w:p>
        </w:tc>
        <w:tc>
          <w:tcPr>
            <w:tcW w:w="70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Требования к участникам закупки:</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 </w:t>
            </w:r>
            <w:r>
              <w:rPr>
                <w:rFonts w:eastAsia="Times New Roman" w:cs="Times New Roman" w:ascii="Times New Roman" w:hAnsi="Times New Roman"/>
                <w:bCs/>
                <w:sz w:val="24"/>
                <w:szCs w:val="24"/>
                <w:lang w:eastAsia="ru-RU"/>
              </w:rPr>
              <w:t>участник закупки должен быть действующим членом СРО в области строительства, реконструкции, капитального ремонта объектов капитального строительства (с правом осуществлять строительство, реконструкцию, капитальный ремонт объектов капитального строительства:</w:t>
              <w:br/>
              <w:t>-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и иметь действующую выписку из реестра членов СРО.</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б)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иностранных юридических лиц;</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Градостроительного Кодекса РФ.</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в) СРО, в котором состоит участник, должна иметь компенсационные фонды в соответствии с частью 1, частью 2 статьи 55.16 Градостроительного кодекса Российской Федерации;</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г)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д)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е)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*Перечисленные требования не распространяются:</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2)непроведение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производства–установлено;</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3)неприостановление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закупке–установлено;</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принято–установлено;</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5)отсутствие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дисквалификации–установлено;</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5.1)участник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правонарушениях–установлено;</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фильма–не установлено;</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общества–установлено;</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8)участник закупки не является офшорной компанией–установлено;</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9) отсутствие у участника закупки ограничений для участия в закупках, установленных законодательством Российской Федерации – установлено.</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3004"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Требование об отсутствии сведений об участнике закупки в реестре недобросовестных Подрядчиков</w:t>
            </w:r>
          </w:p>
        </w:tc>
        <w:tc>
          <w:tcPr>
            <w:tcW w:w="70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Отсутствие в реестре недобросовестных Подрядчиков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3004"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Дополнительные требования к участникам закупки</w:t>
            </w:r>
          </w:p>
        </w:tc>
        <w:tc>
          <w:tcPr>
            <w:tcW w:w="7036"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pacing w:lineRule="auto" w:line="240" w:before="0" w:after="0"/>
              <w:contextualSpacing/>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Не установлены.</w:t>
            </w:r>
          </w:p>
          <w:p>
            <w:pPr>
              <w:pStyle w:val="Normal"/>
              <w:widowControl w:val="false"/>
              <w:shd w:val="clear" w:color="auto" w:fill="FFFFFF"/>
              <w:spacing w:lineRule="auto" w:line="240" w:before="0" w:after="0"/>
              <w:ind w:firstLine="439"/>
              <w:contextualSpacing/>
              <w:jc w:val="both"/>
              <w:rPr>
                <w:rFonts w:ascii="Times New Roman" w:hAnsi="Times New Roman" w:eastAsia="Droid Sans Fallback" w:cs="Times New Roman"/>
                <w:sz w:val="24"/>
                <w:szCs w:val="24"/>
                <w:lang w:eastAsia="zh-CN"/>
              </w:rPr>
            </w:pPr>
            <w:r>
              <w:rPr>
                <w:rFonts w:eastAsia="Droid Sans Fallback" w:cs="Times New Roman" w:ascii="Times New Roman" w:hAnsi="Times New Roman"/>
                <w:sz w:val="24"/>
                <w:szCs w:val="24"/>
                <w:lang w:eastAsia="zh-CN"/>
              </w:rPr>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10040" w:type="dxa"/>
            <w:gridSpan w:val="2"/>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Указанные в настоящем разделе требования предъявляются в равной мере ко всем участникам закупки.</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10040" w:type="dxa"/>
            <w:gridSpan w:val="2"/>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статьи 31 Федерального закона № 44-ФЗ, или предоставил недостоверную информацию в отношении своего соответствия указанным требованиям</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10040" w:type="dxa"/>
            <w:gridSpan w:val="2"/>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pacing w:lineRule="auto" w:line="240" w:before="0" w:after="0"/>
              <w:contextualSpacing/>
              <w:jc w:val="both"/>
              <w:rPr>
                <w:rFonts w:ascii="Times New Roman" w:hAnsi="Times New Roman" w:cs="Times New Roman"/>
                <w:sz w:val="24"/>
                <w:szCs w:val="24"/>
                <w:lang w:eastAsia="ru-RU"/>
              </w:rPr>
            </w:pPr>
            <w:r>
              <w:rPr>
                <w:rFonts w:eastAsia="MS Mincho" w:cs="Times New Roman" w:ascii="Times New Roman" w:hAnsi="Times New Roman"/>
                <w:b/>
                <w:sz w:val="24"/>
                <w:szCs w:val="24"/>
                <w:lang w:eastAsia="ru-RU"/>
              </w:rPr>
              <w:t xml:space="preserve">Все указания, встречающиеся в документации о закупке на используемое оборудование, машины, механизмы,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и т. д. не являются требованием к </w:t>
            </w:r>
            <w:r>
              <w:rPr>
                <w:rFonts w:eastAsia="Times New Roman" w:cs="Times New Roman" w:ascii="Times New Roman" w:hAnsi="Times New Roman"/>
                <w:b/>
                <w:color w:val="000000"/>
                <w:sz w:val="24"/>
                <w:szCs w:val="24"/>
                <w:shd w:fill="FFFFFF" w:val="clear"/>
                <w:lang w:eastAsia="ru-RU"/>
              </w:rPr>
              <w:t xml:space="preserve"> наличию у участника закупки производственных мощностей, технологического оборудования, трудовых, финансовых и других ресурсов, необходимых для выполнения работ, являющихся предметом контракта, заключаемого по результатам проведения закупки</w:t>
            </w:r>
            <w:r>
              <w:rPr>
                <w:rFonts w:eastAsia="MS Mincho" w:cs="Times New Roman" w:ascii="Times New Roman" w:hAnsi="Times New Roman"/>
                <w:b/>
                <w:bCs/>
                <w:sz w:val="24"/>
                <w:szCs w:val="24"/>
                <w:lang w:eastAsia="ru-RU"/>
              </w:rPr>
              <w:t>.</w:t>
            </w:r>
          </w:p>
        </w:tc>
      </w:tr>
    </w:tbl>
    <w:p>
      <w:pPr>
        <w:sectPr>
          <w:type w:val="nextPage"/>
          <w:pgSz w:w="11906" w:h="16838"/>
          <w:pgMar w:left="851" w:right="567" w:header="0" w:top="142" w:footer="0" w:bottom="284" w:gutter="0"/>
          <w:pgNumType w:fmt="decimal"/>
          <w:formProt w:val="false"/>
          <w:textDirection w:val="lrTb"/>
          <w:docGrid w:type="default" w:linePitch="326" w:charSpace="12288"/>
        </w:sectPr>
      </w:pPr>
    </w:p>
    <w:p>
      <w:pPr>
        <w:pStyle w:val="Normal"/>
        <w:numPr>
          <w:ilvl w:val="0"/>
          <w:numId w:val="0"/>
        </w:numPr>
        <w:spacing w:lineRule="auto" w:line="240" w:before="0" w:after="0"/>
        <w:ind w:left="0" w:hanging="0"/>
        <w:outlineLvl w:val="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numPr>
          <w:ilvl w:val="0"/>
          <w:numId w:val="0"/>
        </w:numPr>
        <w:spacing w:lineRule="auto" w:line="240" w:before="0" w:after="0"/>
        <w:ind w:left="0" w:hanging="0"/>
        <w:jc w:val="center"/>
        <w:outlineLvl w:val="1"/>
        <w:rPr>
          <w:rFonts w:ascii="Times New Roman" w:hAnsi="Times New Roman"/>
        </w:rPr>
      </w:pPr>
      <w:r>
        <w:rPr>
          <w:rFonts w:eastAsia="Times New Roman" w:cs="Times New Roman" w:ascii="Times New Roman" w:hAnsi="Times New Roman"/>
          <w:b/>
          <w:sz w:val="24"/>
          <w:szCs w:val="24"/>
          <w:lang w:eastAsia="ru-RU"/>
        </w:rPr>
        <w:t xml:space="preserve">ТРЕБОВАНИЯ К СОДЕРЖАНИЮ И СОСТАВУ ЗАЯВКИ НА УЧАСТИЕ </w:t>
      </w:r>
    </w:p>
    <w:tbl>
      <w:tblPr>
        <w:tblW w:w="10774" w:type="dxa"/>
        <w:jc w:val="left"/>
        <w:tblInd w:w="-744" w:type="dxa"/>
        <w:tblLayout w:type="fixed"/>
        <w:tblCellMar>
          <w:top w:w="0" w:type="dxa"/>
          <w:left w:w="108" w:type="dxa"/>
          <w:bottom w:w="0" w:type="dxa"/>
          <w:right w:w="108" w:type="dxa"/>
        </w:tblCellMar>
        <w:tblLook w:firstRow="1" w:noVBand="0" w:lastRow="0" w:firstColumn="0" w:lastColumn="0" w:noHBand="0" w:val="0020"/>
      </w:tblPr>
      <w:tblGrid>
        <w:gridCol w:w="710"/>
        <w:gridCol w:w="2832"/>
        <w:gridCol w:w="7232"/>
      </w:tblGrid>
      <w:tr>
        <w:trPr>
          <w:tblHeader w:val="true"/>
        </w:trPr>
        <w:tc>
          <w:tcPr>
            <w:tcW w:w="710"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keepNext w:val="true"/>
              <w:keepLines/>
              <w:widowControl w:val="false"/>
              <w:suppressLineNumbers/>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w:t>
            </w:r>
          </w:p>
          <w:p>
            <w:pPr>
              <w:pStyle w:val="Normal"/>
              <w:keepNext w:val="true"/>
              <w:keepLines/>
              <w:widowControl w:val="false"/>
              <w:suppressLineNumbers/>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пункта</w:t>
            </w:r>
          </w:p>
        </w:tc>
        <w:tc>
          <w:tcPr>
            <w:tcW w:w="283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keepNext w:val="true"/>
              <w:keepLines/>
              <w:widowControl w:val="false"/>
              <w:suppressLineNumbers/>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Наименование</w:t>
            </w:r>
          </w:p>
        </w:tc>
        <w:tc>
          <w:tcPr>
            <w:tcW w:w="723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keepNext w:val="true"/>
              <w:keepLines/>
              <w:widowControl w:val="false"/>
              <w:suppressLineNumbers/>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Информация</w:t>
            </w:r>
          </w:p>
        </w:tc>
      </w:tr>
      <w:tr>
        <w:trPr/>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2832" w:type="dxa"/>
            <w:vMerge w:val="restart"/>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pacing w:lineRule="auto" w:line="240" w:before="0" w:after="6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Содержание заявки на участие в закупке</w:t>
            </w:r>
          </w:p>
        </w:tc>
        <w:tc>
          <w:tcPr>
            <w:tcW w:w="723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1)Согласие участника закупки на выполнение работы на условиях, предусмотренных документацией о закупке;</w:t>
            </w:r>
          </w:p>
          <w:p>
            <w:pPr>
              <w:pStyle w:val="Normal"/>
              <w:widowControl w:val="false"/>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Предложение о цене контракта;</w:t>
            </w:r>
          </w:p>
          <w:p>
            <w:pPr>
              <w:pStyle w:val="Normal"/>
              <w:widowControl w:val="false"/>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 Предложение о сроках исполнения контракта;</w:t>
            </w:r>
          </w:p>
          <w:p>
            <w:pPr>
              <w:pStyle w:val="Normal"/>
              <w:widowControl w:val="false"/>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 требуется</w:t>
            </w:r>
          </w:p>
          <w:p>
            <w:pPr>
              <w:pStyle w:val="Normal"/>
              <w:widowControl w:val="false"/>
              <w:shd w:val="clear" w:color="auto" w:fill="FFFFFF"/>
              <w:spacing w:lineRule="auto" w:line="240" w:before="0" w:after="0"/>
              <w:jc w:val="both"/>
              <w:rPr>
                <w:rFonts w:ascii="Times New Roman" w:hAnsi="Times New Roman" w:eastAsia="SimSun" w:cs="Times New Roman"/>
                <w:sz w:val="24"/>
                <w:szCs w:val="24"/>
                <w:lang w:eastAsia="ar-SA"/>
              </w:rPr>
            </w:pPr>
            <w:r>
              <w:rPr>
                <w:rFonts w:eastAsia="SimSun" w:cs="Times New Roman" w:ascii="Times New Roman" w:hAnsi="Times New Roman"/>
                <w:sz w:val="24"/>
                <w:szCs w:val="24"/>
                <w:lang w:eastAsia="ar-SA"/>
              </w:rPr>
            </w:r>
          </w:p>
          <w:p>
            <w:pPr>
              <w:pStyle w:val="Normal"/>
              <w:widowControl w:val="false"/>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Выписки из Единого государственного реестра юридических лиц (для юридического лица) или выписки из Единого государственного реестра индивидуальных предпринимателей (для индивидуального предпринимателя) юридического лица (индивидуального предпринимателя).</w:t>
            </w:r>
          </w:p>
          <w:p>
            <w:pPr>
              <w:pStyle w:val="Normal"/>
              <w:widowControl w:val="false"/>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декларация о соответствии участника требованиям, установленным пунктами 3-5, 7, 7.1, 9 части 1 статьи 31 Федерального закона № 44-ФЗ (указанная декларация предоставляется с использованием программно-аппаратных средств электронной площадки) - требуется;</w:t>
            </w:r>
          </w:p>
          <w:p>
            <w:pPr>
              <w:pStyle w:val="Normal"/>
              <w:widowControl w:val="false"/>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 - требуется;</w:t>
            </w:r>
          </w:p>
          <w:p>
            <w:pPr>
              <w:pStyle w:val="Normal"/>
              <w:widowControl w:val="false"/>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копии документов, подтверждающие соответствие участника такого аукциона требованиям, установленным пунктом 1 части 1 статьи 31 Федерального закона № 44-ФЗ, или копии этих документов –  требуется:</w:t>
            </w:r>
          </w:p>
          <w:p>
            <w:pPr>
              <w:pStyle w:val="Normal"/>
              <w:widowControl w:val="false"/>
              <w:shd w:val="clear" w:color="auto" w:fill="FFFFFF"/>
              <w:spacing w:lineRule="auto" w:line="240" w:before="0" w:after="0"/>
              <w:jc w:val="both"/>
              <w:rPr/>
            </w:pPr>
            <w:r>
              <w:rPr>
                <w:rFonts w:eastAsia="SimSun" w:cs="Times New Roman" w:ascii="Times New Roman" w:hAnsi="Times New Roman"/>
                <w:color w:val="000000"/>
                <w:sz w:val="24"/>
                <w:szCs w:val="24"/>
                <w:lang w:eastAsia="ar-SA"/>
              </w:rPr>
              <w:t>Копия</w:t>
            </w:r>
            <w:r>
              <w:rPr>
                <w:rFonts w:eastAsia="SimSun" w:cs="Times New Roman" w:ascii="Times New Roman" w:hAnsi="Times New Roman"/>
                <w:sz w:val="24"/>
                <w:szCs w:val="24"/>
                <w:lang w:eastAsia="ar-SA"/>
              </w:rPr>
              <w:t xml:space="preserve"> действующ</w:t>
            </w:r>
            <w:r>
              <w:rPr>
                <w:rFonts w:eastAsia="SimSun" w:cs="Times New Roman" w:ascii="Times New Roman" w:hAnsi="Times New Roman"/>
                <w:color w:val="000000"/>
                <w:sz w:val="24"/>
                <w:szCs w:val="24"/>
                <w:lang w:eastAsia="ar-SA"/>
              </w:rPr>
              <w:t>ей</w:t>
            </w:r>
            <w:r>
              <w:rPr>
                <w:rFonts w:eastAsia="SimSun" w:cs="Times New Roman" w:ascii="Times New Roman" w:hAnsi="Times New Roman"/>
                <w:sz w:val="24"/>
                <w:szCs w:val="24"/>
                <w:lang w:eastAsia="ar-SA"/>
              </w:rPr>
              <w:t xml:space="preserve"> выписк</w:t>
            </w:r>
            <w:r>
              <w:rPr>
                <w:rFonts w:eastAsia="SimSun" w:cs="Times New Roman" w:ascii="Times New Roman" w:hAnsi="Times New Roman"/>
                <w:color w:val="000000"/>
                <w:sz w:val="24"/>
                <w:szCs w:val="24"/>
                <w:lang w:eastAsia="ar-SA"/>
              </w:rPr>
              <w:t>и</w:t>
            </w:r>
            <w:r>
              <w:rPr>
                <w:rFonts w:eastAsia="SimSun" w:cs="Times New Roman" w:ascii="Times New Roman" w:hAnsi="Times New Roman"/>
                <w:sz w:val="24"/>
                <w:szCs w:val="24"/>
                <w:lang w:eastAsia="ar-SA"/>
              </w:rPr>
              <w:t xml:space="preserve"> из реестра членов СРО по </w:t>
            </w:r>
            <w:hyperlink r:id="rId2" w:tgtFrame="_blank">
              <w:r>
                <w:rPr>
                  <w:rFonts w:eastAsia="SimSun" w:cs="Times New Roman" w:ascii="Times New Roman" w:hAnsi="Times New Roman"/>
                  <w:sz w:val="24"/>
                  <w:szCs w:val="24"/>
                  <w:lang w:eastAsia="ar-SA"/>
                </w:rPr>
                <w:t>форме</w:t>
              </w:r>
            </w:hyperlink>
            <w:r>
              <w:rPr>
                <w:rFonts w:eastAsia="SimSun" w:cs="Times New Roman" w:ascii="Times New Roman" w:hAnsi="Times New Roman"/>
                <w:sz w:val="24"/>
                <w:szCs w:val="24"/>
                <w:lang w:eastAsia="ar-SA"/>
              </w:rPr>
              <w:t xml:space="preserve">, утвержденной Приказом Ростехнадзора от 16.02.2017 N 58, подтверждающая на дату подачи заявки 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w:t>
            </w:r>
            <w:r>
              <w:rPr>
                <w:rFonts w:eastAsia="SimSun" w:cs="Times New Roman" w:ascii="Times New Roman" w:hAnsi="Times New Roman"/>
                <w:b/>
                <w:bCs/>
                <w:sz w:val="24"/>
                <w:szCs w:val="24"/>
                <w:lang w:eastAsia="ar-SA"/>
              </w:rPr>
              <w:t>Выданная не ранее чем за</w:t>
            </w:r>
            <w:r>
              <w:rPr>
                <w:rFonts w:eastAsia="SimSun" w:cs="Times New Roman" w:ascii="Times New Roman" w:hAnsi="Times New Roman"/>
                <w:sz w:val="24"/>
                <w:szCs w:val="24"/>
                <w:lang w:eastAsia="ar-SA"/>
              </w:rPr>
              <w:t xml:space="preserve"> </w:t>
            </w:r>
            <w:r>
              <w:rPr>
                <w:rFonts w:eastAsia="SimSun" w:cs="Times New Roman" w:ascii="Times New Roman" w:hAnsi="Times New Roman"/>
                <w:b/>
                <w:bCs/>
                <w:sz w:val="24"/>
                <w:szCs w:val="24"/>
                <w:lang w:eastAsia="ar-SA"/>
              </w:rPr>
              <w:t>30 дней до даты подачи заяв</w:t>
            </w:r>
            <w:r>
              <w:rPr>
                <w:rFonts w:eastAsia="SimSun" w:cs="Times New Roman" w:ascii="Times New Roman" w:hAnsi="Times New Roman"/>
                <w:b/>
                <w:bCs/>
                <w:color w:val="000000"/>
                <w:sz w:val="24"/>
                <w:szCs w:val="24"/>
                <w:lang w:eastAsia="ar-SA"/>
              </w:rPr>
              <w:t>ок.</w:t>
            </w:r>
          </w:p>
          <w:p>
            <w:pPr>
              <w:pStyle w:val="Normal"/>
              <w:widowControl w:val="false"/>
              <w:shd w:val="clear" w:color="auto" w:fill="FFFFFF"/>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4"/>
                <w:szCs w:val="24"/>
                <w:lang w:eastAsia="ru-RU"/>
              </w:rPr>
              <w:t>*Перечисленные требования не распространяются:</w:t>
            </w:r>
          </w:p>
          <w:p>
            <w:pPr>
              <w:pStyle w:val="Normal"/>
              <w:widowControl w:val="false"/>
              <w:shd w:val="clear" w:color="auto" w:fill="FFFFFF"/>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4"/>
                <w:szCs w:val="24"/>
                <w:lang w:eastAsia="ru-RU"/>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pPr>
              <w:pStyle w:val="Normal"/>
              <w:widowControl w:val="false"/>
              <w:shd w:val="clear" w:color="auto" w:fill="FFFFFF"/>
              <w:spacing w:lineRule="auto" w:line="240" w:before="0" w:after="280"/>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4"/>
                <w:szCs w:val="24"/>
                <w:lang w:eastAsia="ru-RU"/>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r>
              <w:rPr>
                <w:rFonts w:eastAsia="Times New Roman" w:cs="Times New Roman" w:ascii="Times New Roman" w:hAnsi="Times New Roman"/>
                <w:sz w:val="24"/>
                <w:szCs w:val="24"/>
                <w:lang w:eastAsia="ru-RU"/>
              </w:rPr>
              <w:t>;</w:t>
            </w:r>
          </w:p>
          <w:p>
            <w:pPr>
              <w:pStyle w:val="Normal"/>
              <w:widowControl w:val="false"/>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 не требуется;</w:t>
            </w:r>
          </w:p>
          <w:p>
            <w:pPr>
              <w:pStyle w:val="Normal"/>
              <w:widowControl w:val="false"/>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документы, предусмотренные нормативными правовыми актами, принятыми в соответствии со статьей 14 Федерального закона №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 не требуется.</w:t>
            </w:r>
          </w:p>
          <w:p>
            <w:pPr>
              <w:pStyle w:val="Normal"/>
              <w:widowControl w:val="false"/>
              <w:shd w:val="clear" w:color="auto" w:fill="FFFFFF"/>
              <w:spacing w:lineRule="auto" w:line="240" w:before="0" w:after="0"/>
              <w:jc w:val="both"/>
              <w:rPr>
                <w:rFonts w:ascii="Times New Roman" w:hAnsi="Times New Roman" w:eastAsia="Times New Roman" w:cs="Times New Roman"/>
                <w:b/>
                <w:b/>
                <w:i/>
                <w:i/>
                <w:sz w:val="24"/>
                <w:szCs w:val="24"/>
                <w:highlight w:val="yellow"/>
                <w:lang w:eastAsia="ru-RU"/>
              </w:rPr>
            </w:pPr>
            <w:r>
              <w:rPr>
                <w:rFonts w:eastAsia="Times New Roman" w:cs="Times New Roman" w:ascii="Times New Roman" w:hAnsi="Times New Roman"/>
                <w:b/>
                <w:i/>
                <w:sz w:val="24"/>
                <w:szCs w:val="24"/>
                <w:highlight w:val="yellow"/>
                <w:lang w:eastAsia="ru-RU"/>
              </w:rPr>
            </w:r>
          </w:p>
        </w:tc>
      </w:tr>
      <w:tr>
        <w:trPr/>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ind w:left="432" w:hanging="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832"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232" w:type="dxa"/>
            <w:vMerge w:val="continue"/>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bl>
    <w:p>
      <w:pPr>
        <w:sectPr>
          <w:type w:val="nextPage"/>
          <w:pgSz w:w="11906" w:h="16838"/>
          <w:pgMar w:left="1701" w:right="850" w:header="0" w:top="1134" w:footer="0" w:bottom="1134" w:gutter="0"/>
          <w:pgNumType w:fmt="decimal"/>
          <w:formProt w:val="false"/>
          <w:textDirection w:val="lrTb"/>
          <w:docGrid w:type="default" w:linePitch="360" w:charSpace="12288"/>
        </w:sectPr>
      </w:pPr>
    </w:p>
    <w:p>
      <w:pPr>
        <w:pStyle w:val="Normal"/>
        <w:numPr>
          <w:ilvl w:val="0"/>
          <w:numId w:val="0"/>
        </w:numPr>
        <w:spacing w:lineRule="auto" w:line="240" w:before="0" w:after="0"/>
        <w:ind w:left="0" w:hanging="0"/>
        <w:jc w:val="center"/>
        <w:outlineLvl w:val="1"/>
        <w:rPr>
          <w:rFonts w:ascii="Times New Roman" w:hAnsi="Times New Roman"/>
        </w:rPr>
      </w:pPr>
      <w:r>
        <w:rPr>
          <w:rFonts w:eastAsia="Times New Roman" w:cs="Times New Roman" w:ascii="Times New Roman" w:hAnsi="Times New Roman"/>
          <w:b/>
          <w:i/>
          <w:sz w:val="24"/>
          <w:szCs w:val="24"/>
          <w:lang w:eastAsia="ru-RU"/>
        </w:rPr>
        <w:t>Информация об участнике закупки</w:t>
      </w:r>
    </w:p>
    <w:p>
      <w:pPr>
        <w:pStyle w:val="Normal"/>
        <w:numPr>
          <w:ilvl w:val="0"/>
          <w:numId w:val="0"/>
        </w:numPr>
        <w:spacing w:lineRule="auto" w:line="240" w:before="0" w:after="0"/>
        <w:ind w:left="0" w:hanging="0"/>
        <w:jc w:val="right"/>
        <w:outlineLvl w:val="1"/>
        <w:rPr>
          <w:rFonts w:ascii="Times New Roman" w:hAnsi="Times New Roman"/>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Таблица 1</w:t>
      </w:r>
    </w:p>
    <w:tbl>
      <w:tblPr>
        <w:tblW w:w="14616" w:type="dxa"/>
        <w:jc w:val="left"/>
        <w:tblInd w:w="93" w:type="dxa"/>
        <w:tblLayout w:type="fixed"/>
        <w:tblCellMar>
          <w:top w:w="0" w:type="dxa"/>
          <w:left w:w="108" w:type="dxa"/>
          <w:bottom w:w="0" w:type="dxa"/>
          <w:right w:w="108" w:type="dxa"/>
        </w:tblCellMar>
        <w:tblLook w:firstRow="1" w:noVBand="1" w:lastRow="0" w:firstColumn="1" w:lastColumn="0" w:noHBand="0" w:val="04a0"/>
      </w:tblPr>
      <w:tblGrid>
        <w:gridCol w:w="460"/>
        <w:gridCol w:w="3519"/>
        <w:gridCol w:w="4400"/>
        <w:gridCol w:w="6236"/>
      </w:tblGrid>
      <w:tr>
        <w:trPr>
          <w:trHeight w:val="540" w:hRule="exact"/>
        </w:trPr>
        <w:tc>
          <w:tcPr>
            <w:tcW w:w="4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4155"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r>
          </w:p>
        </w:tc>
      </w:tr>
      <w:tr>
        <w:trPr>
          <w:trHeight w:val="585" w:hRule="atLeast"/>
        </w:trPr>
        <w:tc>
          <w:tcPr>
            <w:tcW w:w="460" w:type="dxa"/>
            <w:tcBorders>
              <w:left w:val="single" w:sz="4" w:space="0" w:color="000000"/>
              <w:bottom w:val="single" w:sz="4" w:space="0" w:color="000000"/>
              <w:right w:val="single" w:sz="4" w:space="0" w:color="000000"/>
            </w:tcBorders>
            <w:shd w:color="000000" w:fill="F2F2F2" w:val="clear"/>
            <w:vAlign w:val="bottom"/>
          </w:tcPr>
          <w:p>
            <w:pPr>
              <w:pStyle w:val="Normal"/>
              <w:widowControl w:val="false"/>
              <w:spacing w:lineRule="auto" w:line="240" w:before="0" w:after="0"/>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t xml:space="preserve">№ </w:t>
            </w:r>
            <w:r>
              <w:rPr>
                <w:rFonts w:eastAsia="Times New Roman" w:cs="Times New Roman" w:ascii="Times New Roman" w:hAnsi="Times New Roman"/>
                <w:b/>
                <w:bCs/>
                <w:color w:val="000000"/>
                <w:lang w:eastAsia="ru-RU"/>
              </w:rPr>
              <w:t>п п</w:t>
            </w:r>
          </w:p>
        </w:tc>
        <w:tc>
          <w:tcPr>
            <w:tcW w:w="7919" w:type="dxa"/>
            <w:gridSpan w:val="2"/>
            <w:tcBorders>
              <w:top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240" w:before="0" w:after="0"/>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t>Критерий отбора</w:t>
            </w:r>
          </w:p>
        </w:tc>
        <w:tc>
          <w:tcPr>
            <w:tcW w:w="6236" w:type="dxa"/>
            <w:tcBorders>
              <w:bottom w:val="single" w:sz="4" w:space="0" w:color="000000"/>
              <w:right w:val="single" w:sz="4" w:space="0" w:color="000000"/>
            </w:tcBorders>
            <w:shd w:color="000000" w:fill="F2F2F2" w:val="clear"/>
            <w:vAlign w:val="center"/>
          </w:tcPr>
          <w:p>
            <w:pPr>
              <w:pStyle w:val="Normal"/>
              <w:widowControl w:val="false"/>
              <w:spacing w:lineRule="auto" w:line="240" w:before="0" w:after="0"/>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r>
          </w:p>
        </w:tc>
      </w:tr>
      <w:tr>
        <w:trPr>
          <w:trHeight w:val="300" w:hRule="atLeast"/>
        </w:trPr>
        <w:tc>
          <w:tcPr>
            <w:tcW w:w="46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t>1</w:t>
            </w:r>
          </w:p>
        </w:tc>
        <w:tc>
          <w:tcPr>
            <w:tcW w:w="7919" w:type="dxa"/>
            <w:gridSpan w:val="2"/>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Уставной капитал</w:t>
            </w:r>
          </w:p>
        </w:tc>
        <w:tc>
          <w:tcPr>
            <w:tcW w:w="623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300" w:hRule="atLeast"/>
        </w:trPr>
        <w:tc>
          <w:tcPr>
            <w:tcW w:w="460" w:type="dxa"/>
            <w:tcBorders>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240" w:before="0" w:after="0"/>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t>2</w:t>
            </w:r>
          </w:p>
        </w:tc>
        <w:tc>
          <w:tcPr>
            <w:tcW w:w="7919" w:type="dxa"/>
            <w:gridSpan w:val="2"/>
            <w:tcBorders>
              <w:top w:val="single" w:sz="4" w:space="0" w:color="000000"/>
              <w:bottom w:val="single" w:sz="4" w:space="0" w:color="000000"/>
              <w:right w:val="single" w:sz="4" w:space="0" w:color="000000"/>
            </w:tcBorders>
            <w:shd w:color="000000" w:fill="F2F2F2"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Срок существования</w:t>
            </w:r>
          </w:p>
        </w:tc>
        <w:tc>
          <w:tcPr>
            <w:tcW w:w="6236" w:type="dxa"/>
            <w:tcBorders>
              <w:bottom w:val="single" w:sz="4" w:space="0" w:color="000000"/>
              <w:right w:val="single" w:sz="4" w:space="0" w:color="000000"/>
            </w:tcBorders>
            <w:shd w:color="000000" w:fill="F2F2F2"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300" w:hRule="atLeast"/>
        </w:trPr>
        <w:tc>
          <w:tcPr>
            <w:tcW w:w="460"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t>3</w:t>
            </w:r>
          </w:p>
        </w:tc>
        <w:tc>
          <w:tcPr>
            <w:tcW w:w="3519"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Лицензии</w:t>
            </w:r>
          </w:p>
        </w:tc>
        <w:tc>
          <w:tcPr>
            <w:tcW w:w="440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СРО (на какую сумму)</w:t>
            </w:r>
          </w:p>
        </w:tc>
        <w:tc>
          <w:tcPr>
            <w:tcW w:w="623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300" w:hRule="atLeast"/>
        </w:trPr>
        <w:tc>
          <w:tcPr>
            <w:tcW w:w="460"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r>
          </w:p>
        </w:tc>
        <w:tc>
          <w:tcPr>
            <w:tcW w:w="3519"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40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другие</w:t>
            </w:r>
          </w:p>
        </w:tc>
        <w:tc>
          <w:tcPr>
            <w:tcW w:w="623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889" w:hRule="atLeast"/>
        </w:trPr>
        <w:tc>
          <w:tcPr>
            <w:tcW w:w="460" w:type="dxa"/>
            <w:tcBorders>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240" w:before="0" w:after="0"/>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t>4</w:t>
            </w:r>
          </w:p>
        </w:tc>
        <w:tc>
          <w:tcPr>
            <w:tcW w:w="7919" w:type="dxa"/>
            <w:gridSpan w:val="2"/>
            <w:tcBorders>
              <w:top w:val="single" w:sz="4" w:space="0" w:color="000000"/>
              <w:bottom w:val="single" w:sz="4" w:space="0" w:color="000000"/>
              <w:right w:val="single" w:sz="4" w:space="0" w:color="000000"/>
            </w:tcBorders>
            <w:shd w:color="000000" w:fill="F2F2F2"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Штатная численность квалифицированных сотрудников с указанием должностей</w:t>
            </w:r>
          </w:p>
        </w:tc>
        <w:tc>
          <w:tcPr>
            <w:tcW w:w="6236" w:type="dxa"/>
            <w:tcBorders>
              <w:bottom w:val="single" w:sz="4" w:space="0" w:color="000000"/>
              <w:right w:val="single" w:sz="4" w:space="0" w:color="000000"/>
            </w:tcBorders>
            <w:shd w:color="000000" w:fill="F2F2F2"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300" w:hRule="atLeast"/>
        </w:trPr>
        <w:tc>
          <w:tcPr>
            <w:tcW w:w="46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t>6</w:t>
            </w:r>
          </w:p>
        </w:tc>
        <w:tc>
          <w:tcPr>
            <w:tcW w:w="7919" w:type="dxa"/>
            <w:gridSpan w:val="2"/>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Укомплектованность техникой</w:t>
            </w:r>
          </w:p>
        </w:tc>
        <w:tc>
          <w:tcPr>
            <w:tcW w:w="623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300" w:hRule="atLeast"/>
        </w:trPr>
        <w:tc>
          <w:tcPr>
            <w:tcW w:w="460" w:type="dxa"/>
            <w:vMerge w:val="restart"/>
            <w:tcBorders>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240" w:before="0" w:after="0"/>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t>7</w:t>
            </w:r>
          </w:p>
        </w:tc>
        <w:tc>
          <w:tcPr>
            <w:tcW w:w="3519" w:type="dxa"/>
            <w:vMerge w:val="restart"/>
            <w:tcBorders>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Выполненные контракты</w:t>
            </w:r>
          </w:p>
        </w:tc>
        <w:tc>
          <w:tcPr>
            <w:tcW w:w="4400" w:type="dxa"/>
            <w:tcBorders>
              <w:bottom w:val="single" w:sz="4" w:space="0" w:color="000000"/>
              <w:right w:val="single" w:sz="4" w:space="0" w:color="000000"/>
            </w:tcBorders>
            <w:shd w:color="000000" w:fill="F2F2F2"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Количество</w:t>
            </w:r>
          </w:p>
        </w:tc>
        <w:tc>
          <w:tcPr>
            <w:tcW w:w="6236" w:type="dxa"/>
            <w:tcBorders>
              <w:bottom w:val="single" w:sz="4" w:space="0" w:color="000000"/>
              <w:right w:val="single" w:sz="4" w:space="0" w:color="000000"/>
            </w:tcBorders>
            <w:shd w:color="000000" w:fill="F2F2F2"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300" w:hRule="atLeast"/>
        </w:trPr>
        <w:tc>
          <w:tcPr>
            <w:tcW w:w="460"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r>
          </w:p>
        </w:tc>
        <w:tc>
          <w:tcPr>
            <w:tcW w:w="3519"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400" w:type="dxa"/>
            <w:tcBorders>
              <w:bottom w:val="single" w:sz="4" w:space="0" w:color="000000"/>
              <w:right w:val="single" w:sz="4" w:space="0" w:color="000000"/>
            </w:tcBorders>
            <w:shd w:color="000000" w:fill="F2F2F2"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Сумма средств</w:t>
            </w:r>
          </w:p>
        </w:tc>
        <w:tc>
          <w:tcPr>
            <w:tcW w:w="6236" w:type="dxa"/>
            <w:tcBorders>
              <w:bottom w:val="single" w:sz="4" w:space="0" w:color="000000"/>
              <w:right w:val="single" w:sz="4" w:space="0" w:color="000000"/>
            </w:tcBorders>
            <w:shd w:color="000000" w:fill="F2F2F2"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649" w:hRule="atLeast"/>
        </w:trPr>
        <w:tc>
          <w:tcPr>
            <w:tcW w:w="460"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r>
          </w:p>
        </w:tc>
        <w:tc>
          <w:tcPr>
            <w:tcW w:w="3519"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400" w:type="dxa"/>
            <w:tcBorders>
              <w:bottom w:val="single" w:sz="4" w:space="0" w:color="000000"/>
              <w:right w:val="single" w:sz="4" w:space="0" w:color="000000"/>
            </w:tcBorders>
            <w:shd w:color="000000" w:fill="F2F2F2"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Фото реализованных объектов (ссылки)</w:t>
            </w:r>
          </w:p>
        </w:tc>
        <w:tc>
          <w:tcPr>
            <w:tcW w:w="6236" w:type="dxa"/>
            <w:tcBorders>
              <w:bottom w:val="single" w:sz="4" w:space="0" w:color="000000"/>
              <w:right w:val="single" w:sz="4" w:space="0" w:color="000000"/>
            </w:tcBorders>
            <w:shd w:color="000000" w:fill="F2F2F2"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372" w:hRule="atLeast"/>
        </w:trPr>
        <w:tc>
          <w:tcPr>
            <w:tcW w:w="46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t>8</w:t>
            </w:r>
          </w:p>
        </w:tc>
        <w:tc>
          <w:tcPr>
            <w:tcW w:w="7919" w:type="dxa"/>
            <w:gridSpan w:val="2"/>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Текущие контракты (и их стоимости)</w:t>
            </w:r>
          </w:p>
        </w:tc>
        <w:tc>
          <w:tcPr>
            <w:tcW w:w="623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630" w:hRule="atLeast"/>
        </w:trPr>
        <w:tc>
          <w:tcPr>
            <w:tcW w:w="460" w:type="dxa"/>
            <w:tcBorders>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240" w:before="0" w:after="0"/>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t>9</w:t>
            </w:r>
          </w:p>
        </w:tc>
        <w:tc>
          <w:tcPr>
            <w:tcW w:w="7919" w:type="dxa"/>
            <w:gridSpan w:val="2"/>
            <w:tcBorders>
              <w:top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Наличие службы технадзора и контроля качества</w:t>
            </w:r>
          </w:p>
        </w:tc>
        <w:tc>
          <w:tcPr>
            <w:tcW w:w="6236" w:type="dxa"/>
            <w:tcBorders>
              <w:bottom w:val="single" w:sz="4" w:space="0" w:color="000000"/>
              <w:right w:val="single" w:sz="4" w:space="0" w:color="000000"/>
            </w:tcBorders>
            <w:shd w:color="000000" w:fill="F2F2F2"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330" w:hRule="atLeast"/>
        </w:trPr>
        <w:tc>
          <w:tcPr>
            <w:tcW w:w="46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t>10</w:t>
            </w:r>
          </w:p>
        </w:tc>
        <w:tc>
          <w:tcPr>
            <w:tcW w:w="7919" w:type="dxa"/>
            <w:gridSpan w:val="2"/>
            <w:tcBorders>
              <w:top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Наличие независимой гарантии</w:t>
            </w:r>
          </w:p>
        </w:tc>
        <w:tc>
          <w:tcPr>
            <w:tcW w:w="623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900" w:hRule="atLeast"/>
        </w:trPr>
        <w:tc>
          <w:tcPr>
            <w:tcW w:w="460" w:type="dxa"/>
            <w:tcBorders>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240" w:before="0" w:after="0"/>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t>11</w:t>
            </w:r>
          </w:p>
        </w:tc>
        <w:tc>
          <w:tcPr>
            <w:tcW w:w="7919" w:type="dxa"/>
            <w:gridSpan w:val="2"/>
            <w:tcBorders>
              <w:top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Готовность принимать трудовую помощь от горожан в процессе реализации проекта</w:t>
            </w:r>
          </w:p>
        </w:tc>
        <w:tc>
          <w:tcPr>
            <w:tcW w:w="6236" w:type="dxa"/>
            <w:tcBorders>
              <w:bottom w:val="single" w:sz="4" w:space="0" w:color="000000"/>
              <w:right w:val="single" w:sz="4" w:space="0" w:color="000000"/>
            </w:tcBorders>
            <w:shd w:color="000000" w:fill="F2F2F2"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330" w:hRule="atLeast"/>
        </w:trPr>
        <w:tc>
          <w:tcPr>
            <w:tcW w:w="46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t>12</w:t>
            </w:r>
          </w:p>
        </w:tc>
        <w:tc>
          <w:tcPr>
            <w:tcW w:w="7919"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Наличие штрафов от ФАС</w:t>
            </w:r>
          </w:p>
        </w:tc>
        <w:tc>
          <w:tcPr>
            <w:tcW w:w="623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683" w:hRule="atLeast"/>
        </w:trPr>
        <w:tc>
          <w:tcPr>
            <w:tcW w:w="460" w:type="dxa"/>
            <w:tcBorders>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240" w:before="0" w:after="0"/>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t>13</w:t>
            </w:r>
          </w:p>
        </w:tc>
        <w:tc>
          <w:tcPr>
            <w:tcW w:w="7919" w:type="dxa"/>
            <w:gridSpan w:val="2"/>
            <w:tcBorders>
              <w:top w:val="single" w:sz="4" w:space="0" w:color="000000"/>
              <w:bottom w:val="single" w:sz="4" w:space="0" w:color="000000"/>
              <w:right w:val="single" w:sz="4" w:space="0" w:color="000000"/>
            </w:tcBorders>
            <w:shd w:color="000000" w:fill="F2F2F2"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Отсутствие задолжености по налогам, сборам и другим обязательным платежам</w:t>
            </w:r>
          </w:p>
        </w:tc>
        <w:tc>
          <w:tcPr>
            <w:tcW w:w="6236" w:type="dxa"/>
            <w:tcBorders>
              <w:bottom w:val="single" w:sz="4" w:space="0" w:color="000000"/>
              <w:right w:val="single" w:sz="4" w:space="0" w:color="000000"/>
            </w:tcBorders>
            <w:shd w:color="000000" w:fill="F2F2F2"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2040" w:hRule="atLeast"/>
        </w:trPr>
        <w:tc>
          <w:tcPr>
            <w:tcW w:w="460" w:type="dxa"/>
            <w:tcBorders>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240" w:before="0" w:after="0"/>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t>14</w:t>
            </w:r>
          </w:p>
        </w:tc>
        <w:tc>
          <w:tcPr>
            <w:tcW w:w="7919" w:type="dxa"/>
            <w:gridSpan w:val="2"/>
            <w:tcBorders>
              <w:top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Отсутсвие организации в перечне организаций нарушивших принятые не себя обязательства в процессе исполнения государственных и муниципальных контрактов на выполнение ПИР и СМР по объектам капитального ремонта/строительства Республики Крым (ДА/НЕТ)</w:t>
            </w:r>
          </w:p>
        </w:tc>
        <w:tc>
          <w:tcPr>
            <w:tcW w:w="6236" w:type="dxa"/>
            <w:tcBorders>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Times New Roman" w:hAnsi="Times New Roman" w:eastAsia="Times New Roman" w:cs="Times New Roman"/>
                <w:color w:val="000000"/>
                <w:highlight w:val="yellow"/>
                <w:lang w:eastAsia="ru-RU"/>
              </w:rPr>
            </w:pPr>
            <w:r>
              <w:rPr>
                <w:rFonts w:eastAsia="Times New Roman" w:cs="Times New Roman" w:ascii="Times New Roman" w:hAnsi="Times New Roman"/>
                <w:color w:val="000000"/>
                <w:highlight w:val="yellow"/>
                <w:lang w:eastAsia="ru-RU"/>
              </w:rPr>
            </w:r>
          </w:p>
        </w:tc>
      </w:tr>
      <w:tr>
        <w:trPr>
          <w:trHeight w:val="2505" w:hRule="atLeast"/>
        </w:trPr>
        <w:tc>
          <w:tcPr>
            <w:tcW w:w="460" w:type="dxa"/>
            <w:tcBorders>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240" w:before="0" w:after="0"/>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t>15</w:t>
            </w:r>
          </w:p>
        </w:tc>
        <w:tc>
          <w:tcPr>
            <w:tcW w:w="7919" w:type="dxa"/>
            <w:gridSpan w:val="2"/>
            <w:tcBorders>
              <w:top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Отсутствие у участника закупки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судимости за преступления в сфере экономики и (или) преступления, предусмотренные статьями 289, 290, 291, 291.1</w:t>
            </w:r>
          </w:p>
        </w:tc>
        <w:tc>
          <w:tcPr>
            <w:tcW w:w="6236" w:type="dxa"/>
            <w:tcBorders>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Times New Roman" w:hAnsi="Times New Roman" w:eastAsia="Times New Roman" w:cs="Times New Roman"/>
                <w:color w:val="000000"/>
                <w:highlight w:val="yellow"/>
                <w:lang w:eastAsia="ru-RU"/>
              </w:rPr>
            </w:pPr>
            <w:r>
              <w:rPr>
                <w:rFonts w:eastAsia="Times New Roman" w:cs="Times New Roman" w:ascii="Times New Roman" w:hAnsi="Times New Roman"/>
                <w:color w:val="000000"/>
                <w:highlight w:val="yellow"/>
                <w:lang w:eastAsia="ru-RU"/>
              </w:rPr>
            </w:r>
          </w:p>
        </w:tc>
      </w:tr>
      <w:tr>
        <w:trPr>
          <w:trHeight w:val="1140" w:hRule="atLeast"/>
        </w:trPr>
        <w:tc>
          <w:tcPr>
            <w:tcW w:w="46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t>16</w:t>
            </w:r>
          </w:p>
        </w:tc>
        <w:tc>
          <w:tcPr>
            <w:tcW w:w="7919"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Сведения об основных видах деятельности ОКВЭД</w:t>
            </w:r>
          </w:p>
        </w:tc>
        <w:tc>
          <w:tcPr>
            <w:tcW w:w="623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bl>
    <w:p>
      <w:pPr>
        <w:sectPr>
          <w:type w:val="nextPage"/>
          <w:pgSz w:orient="landscape" w:w="16838" w:h="11906"/>
          <w:pgMar w:left="1134" w:right="1134" w:header="0" w:top="1701" w:footer="0" w:bottom="850" w:gutter="0"/>
          <w:pgNumType w:fmt="decimal"/>
          <w:formProt w:val="false"/>
          <w:textDirection w:val="lrTb"/>
          <w:docGrid w:type="default" w:linePitch="360" w:charSpace="12288"/>
        </w:sectPr>
      </w:pPr>
    </w:p>
    <w:p>
      <w:pPr>
        <w:pStyle w:val="Normal"/>
        <w:numPr>
          <w:ilvl w:val="0"/>
          <w:numId w:val="0"/>
        </w:numPr>
        <w:spacing w:lineRule="auto" w:line="240" w:before="0" w:after="0"/>
        <w:ind w:left="0" w:hanging="0"/>
        <w:jc w:val="center"/>
        <w:outlineLvl w:val="1"/>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numPr>
          <w:ilvl w:val="0"/>
          <w:numId w:val="0"/>
        </w:numPr>
        <w:spacing w:lineRule="auto" w:line="240" w:before="0" w:after="0"/>
        <w:ind w:left="0" w:hanging="0"/>
        <w:jc w:val="center"/>
        <w:outlineLvl w:val="1"/>
        <w:rPr>
          <w:rFonts w:ascii="Times New Roman" w:hAnsi="Times New Roman"/>
        </w:rPr>
      </w:pPr>
      <w:r>
        <w:rPr>
          <w:rFonts w:eastAsia="Times New Roman" w:cs="Times New Roman" w:ascii="Times New Roman" w:hAnsi="Times New Roman"/>
          <w:b/>
          <w:sz w:val="24"/>
          <w:szCs w:val="24"/>
          <w:lang w:eastAsia="ru-RU"/>
        </w:rPr>
        <w:t xml:space="preserve"> </w:t>
      </w:r>
      <w:r>
        <w:rPr>
          <w:rFonts w:eastAsia="Times New Roman" w:cs="Times New Roman" w:ascii="Times New Roman" w:hAnsi="Times New Roman"/>
          <w:b/>
          <w:sz w:val="24"/>
          <w:szCs w:val="24"/>
          <w:lang w:eastAsia="ru-RU"/>
        </w:rPr>
        <w:t>СВЕДЕНИЯ ОБ ОГРАНИЧЕНИИ И ЗАПРЕТЕ УЧАСТИЯ В ЗАКУПКЕ</w:t>
      </w:r>
    </w:p>
    <w:tbl>
      <w:tblPr>
        <w:tblW w:w="10715" w:type="dxa"/>
        <w:jc w:val="left"/>
        <w:tblInd w:w="-744" w:type="dxa"/>
        <w:tblLayout w:type="fixed"/>
        <w:tblCellMar>
          <w:top w:w="0" w:type="dxa"/>
          <w:left w:w="108" w:type="dxa"/>
          <w:bottom w:w="0" w:type="dxa"/>
          <w:right w:w="108" w:type="dxa"/>
        </w:tblCellMar>
        <w:tblLook w:firstRow="1" w:noVBand="0" w:lastRow="0" w:firstColumn="0" w:lastColumn="0" w:noHBand="0" w:val="0020"/>
      </w:tblPr>
      <w:tblGrid>
        <w:gridCol w:w="675"/>
        <w:gridCol w:w="5416"/>
        <w:gridCol w:w="4624"/>
      </w:tblGrid>
      <w:tr>
        <w:trPr>
          <w:tblHeader w:val="true"/>
          <w:trHeight w:val="760" w:hRule="atLeast"/>
        </w:trPr>
        <w:tc>
          <w:tcPr>
            <w:tcW w:w="67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keepNext w:val="true"/>
              <w:keepLines/>
              <w:widowControl w:val="false"/>
              <w:suppressLineNumbers/>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w:t>
            </w:r>
          </w:p>
          <w:p>
            <w:pPr>
              <w:pStyle w:val="Normal"/>
              <w:keepNext w:val="true"/>
              <w:keepLines/>
              <w:widowControl w:val="false"/>
              <w:suppressLineNumbers/>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пункта</w:t>
            </w:r>
          </w:p>
        </w:tc>
        <w:tc>
          <w:tcPr>
            <w:tcW w:w="5416"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keepNext w:val="true"/>
              <w:keepLines/>
              <w:widowControl w:val="false"/>
              <w:suppressLineNumbers/>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Наименование</w:t>
            </w:r>
          </w:p>
        </w:tc>
        <w:tc>
          <w:tcPr>
            <w:tcW w:w="4624"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keepNext w:val="true"/>
              <w:keepLines/>
              <w:widowControl w:val="false"/>
              <w:suppressLineNumbers/>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Информация</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lineRule="auto" w:line="240" w:before="0" w:after="60"/>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5416"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Ограничение участия в закупке для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частью 1 статьи 31.1 Федерального закона от 12.01.1996 №7-ФЗ «О некоммерческих организациях».</w:t>
            </w:r>
          </w:p>
        </w:tc>
        <w:tc>
          <w:tcPr>
            <w:tcW w:w="4624"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 установлено</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lineRule="auto" w:line="240" w:before="0" w:after="60"/>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5416"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46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 установлено</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lineRule="auto" w:line="240" w:before="0" w:after="60"/>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5416"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46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 установлено</w:t>
            </w:r>
          </w:p>
          <w:p>
            <w:pPr>
              <w:pStyle w:val="Normal"/>
              <w:widowControl w:val="false"/>
              <w:spacing w:lineRule="auto" w:line="240" w:before="0" w:after="0"/>
              <w:ind w:firstLine="567"/>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tc>
      </w:tr>
    </w:tbl>
    <w:p>
      <w:pPr>
        <w:pStyle w:val="Normal"/>
        <w:numPr>
          <w:ilvl w:val="0"/>
          <w:numId w:val="0"/>
        </w:numPr>
        <w:spacing w:lineRule="auto" w:line="240" w:before="0" w:after="0"/>
        <w:ind w:left="0" w:hanging="0"/>
        <w:jc w:val="center"/>
        <w:outlineLvl w:val="1"/>
        <w:rPr>
          <w:rFonts w:ascii="Times New Roman" w:hAnsi="Times New Roman"/>
        </w:rPr>
      </w:pPr>
      <w:r>
        <w:br w:type="page"/>
      </w:r>
      <w:bookmarkStart w:id="9" w:name="_Ref166312503"/>
      <w:bookmarkStart w:id="10" w:name="_Ref166313061"/>
      <w:bookmarkEnd w:id="9"/>
      <w:bookmarkEnd w:id="10"/>
      <w:r>
        <w:rPr>
          <w:rFonts w:eastAsia="Times New Roman" w:cs="Times New Roman" w:ascii="Times New Roman" w:hAnsi="Times New Roman"/>
          <w:sz w:val="24"/>
          <w:szCs w:val="24"/>
          <w:lang w:eastAsia="ru-RU"/>
        </w:rPr>
        <w:t xml:space="preserve"> </w:t>
      </w:r>
    </w:p>
    <w:p>
      <w:pPr>
        <w:pStyle w:val="Normal"/>
        <w:numPr>
          <w:ilvl w:val="0"/>
          <w:numId w:val="0"/>
        </w:numPr>
        <w:spacing w:lineRule="auto" w:line="240" w:before="0" w:after="0"/>
        <w:ind w:left="0" w:hanging="0"/>
        <w:jc w:val="center"/>
        <w:outlineLvl w:val="1"/>
        <w:rPr>
          <w:rFonts w:ascii="Times New Roman" w:hAnsi="Times New Roman"/>
        </w:rPr>
      </w:pPr>
      <w:r>
        <w:rPr>
          <w:rFonts w:eastAsia="Times New Roman" w:cs="Times New Roman" w:ascii="Times New Roman" w:hAnsi="Times New Roman"/>
          <w:b/>
          <w:sz w:val="24"/>
          <w:szCs w:val="24"/>
          <w:lang w:eastAsia="ru-RU"/>
        </w:rPr>
        <w:t>УСЛОВИЯ ФИНАНСОВОГО ОБЕСПЕЧЕНИЯ</w:t>
      </w:r>
    </w:p>
    <w:p>
      <w:pPr>
        <w:pStyle w:val="Normal"/>
        <w:tabs>
          <w:tab w:val="clear" w:pos="708"/>
          <w:tab w:val="left" w:pos="1712" w:leader="none"/>
        </w:tabs>
        <w:spacing w:lineRule="auto" w:line="240" w:before="0" w:after="0"/>
        <w:rPr>
          <w:rFonts w:ascii="Times New Roman" w:hAnsi="Times New Roman"/>
        </w:rPr>
      </w:pPr>
      <w:r>
        <w:rPr>
          <w:rFonts w:eastAsia="Times New Roman" w:cs="Times New Roman" w:ascii="Times New Roman" w:hAnsi="Times New Roman"/>
          <w:sz w:val="24"/>
          <w:szCs w:val="24"/>
          <w:lang w:eastAsia="ru-RU"/>
        </w:rPr>
        <w:tab/>
      </w:r>
    </w:p>
    <w:tbl>
      <w:tblPr>
        <w:tblW w:w="10349" w:type="dxa"/>
        <w:jc w:val="left"/>
        <w:tblInd w:w="-744" w:type="dxa"/>
        <w:tblLayout w:type="fixed"/>
        <w:tblCellMar>
          <w:top w:w="0" w:type="dxa"/>
          <w:left w:w="108" w:type="dxa"/>
          <w:bottom w:w="0" w:type="dxa"/>
          <w:right w:w="108" w:type="dxa"/>
        </w:tblCellMar>
        <w:tblLook w:firstRow="1" w:noVBand="0" w:lastRow="0" w:firstColumn="0" w:lastColumn="0" w:noHBand="0" w:val="0020"/>
      </w:tblPr>
      <w:tblGrid>
        <w:gridCol w:w="667"/>
        <w:gridCol w:w="2453"/>
        <w:gridCol w:w="7229"/>
      </w:tblGrid>
      <w:tr>
        <w:trPr>
          <w:tblHeader w:val="true"/>
        </w:trPr>
        <w:tc>
          <w:tcPr>
            <w:tcW w:w="667"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keepNext w:val="true"/>
              <w:keepLines/>
              <w:widowControl w:val="false"/>
              <w:suppressLineNumbers/>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w:t>
            </w:r>
          </w:p>
          <w:p>
            <w:pPr>
              <w:pStyle w:val="Normal"/>
              <w:keepNext w:val="true"/>
              <w:keepLines/>
              <w:widowControl w:val="false"/>
              <w:suppressLineNumbers/>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пункта</w:t>
            </w:r>
          </w:p>
        </w:tc>
        <w:tc>
          <w:tcPr>
            <w:tcW w:w="245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keepNext w:val="true"/>
              <w:keepLines/>
              <w:widowControl w:val="false"/>
              <w:suppressLineNumbers/>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Наименование</w:t>
            </w:r>
          </w:p>
        </w:tc>
        <w:tc>
          <w:tcPr>
            <w:tcW w:w="722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keepNext w:val="true"/>
              <w:keepLines/>
              <w:widowControl w:val="false"/>
              <w:suppressLineNumbers/>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Информация</w:t>
            </w:r>
          </w:p>
        </w:tc>
      </w:tr>
      <w:tr>
        <w:trPr/>
        <w:tc>
          <w:tcPr>
            <w:tcW w:w="66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pacing w:lineRule="auto" w:line="240" w:before="0" w:after="6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53" w:type="dxa"/>
            <w:tcBorders>
              <w:top w:val="single" w:sz="4" w:space="0" w:color="000000"/>
              <w:left w:val="single" w:sz="4" w:space="0" w:color="000000"/>
              <w:bottom w:val="single" w:sz="4" w:space="0" w:color="000000"/>
              <w:right w:val="single" w:sz="4" w:space="0" w:color="000000"/>
            </w:tcBorders>
          </w:tcPr>
          <w:p>
            <w:pPr>
              <w:pStyle w:val="Normal"/>
              <w:keepLines/>
              <w:widowControl w:val="false"/>
              <w:suppressLineNumbers/>
              <w:spacing w:lineRule="auto" w:line="240" w:before="0" w:after="0"/>
              <w:ind w:firstLine="69"/>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Размер обеспечения заявок на участие в закупке</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Не установлено</w:t>
            </w:r>
          </w:p>
        </w:tc>
      </w:tr>
      <w:tr>
        <w:trPr/>
        <w:tc>
          <w:tcPr>
            <w:tcW w:w="6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2453" w:type="dxa"/>
            <w:tcBorders>
              <w:top w:val="single" w:sz="4" w:space="0" w:color="000000"/>
              <w:left w:val="single" w:sz="4" w:space="0" w:color="000000"/>
              <w:bottom w:val="single" w:sz="4" w:space="0" w:color="000000"/>
              <w:right w:val="single" w:sz="4" w:space="0" w:color="000000"/>
            </w:tcBorders>
          </w:tcPr>
          <w:p>
            <w:pPr>
              <w:pStyle w:val="Normal"/>
              <w:keepLines/>
              <w:widowControl w:val="false"/>
              <w:suppressLineNumbers/>
              <w:spacing w:lineRule="auto" w:line="240" w:before="0" w:after="0"/>
              <w:contextualSpacing/>
              <w:rPr>
                <w:rFonts w:ascii="Times New Roman" w:hAnsi="Times New Roman" w:eastAsia="Times New Roman" w:cs="Times New Roman"/>
                <w:sz w:val="24"/>
                <w:szCs w:val="20"/>
                <w:lang w:eastAsia="ru-RU"/>
              </w:rPr>
            </w:pPr>
            <w:r>
              <w:rPr>
                <w:rFonts w:eastAsia="Times New Roman" w:cs="Times New Roman" w:ascii="Times New Roman" w:hAnsi="Times New Roman"/>
                <w:sz w:val="24"/>
                <w:szCs w:val="20"/>
                <w:lang w:eastAsia="ru-RU"/>
              </w:rPr>
              <w:t>Способы внесения обеспечения заявки</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459"/>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Обеспечение заявки на участие в электронном аукционе может предоставляться участником закупки в виде денежных средств или независимой гарантии, выданной банком и соответствующей требованиям статьи 45 настоящего Федерального закона.</w:t>
            </w:r>
          </w:p>
          <w:p>
            <w:pPr>
              <w:pStyle w:val="Normal"/>
              <w:widowControl w:val="false"/>
              <w:spacing w:lineRule="auto" w:line="240" w:before="0" w:after="0"/>
              <w:ind w:firstLine="459"/>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Выбор способа обеспечения заявки на участие в электронном аукционе осуществляется участником закупки.</w:t>
            </w:r>
          </w:p>
          <w:p>
            <w:pPr>
              <w:pStyle w:val="Normal"/>
              <w:widowControl w:val="false"/>
              <w:spacing w:lineRule="auto" w:line="240" w:before="0" w:after="0"/>
              <w:ind w:firstLine="45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Требование об обеспечении заявки на участие в определении Подрядчика (подрядчика, исполнителя)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Подрядчиков (подрядчиков, исполнителей).</w:t>
            </w:r>
          </w:p>
        </w:tc>
      </w:tr>
      <w:tr>
        <w:trPr/>
        <w:tc>
          <w:tcPr>
            <w:tcW w:w="66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bookmarkStart w:id="11" w:name="_Ref166315233"/>
            <w:bookmarkStart w:id="12" w:name="_Ref166315600"/>
            <w:bookmarkStart w:id="13" w:name="_Ref166337491"/>
            <w:bookmarkStart w:id="14" w:name="_Ref166315233"/>
            <w:bookmarkStart w:id="15" w:name="_Ref166315600"/>
            <w:bookmarkStart w:id="16" w:name="_Ref166337491"/>
            <w:bookmarkEnd w:id="14"/>
            <w:bookmarkEnd w:id="15"/>
            <w:bookmarkEnd w:id="16"/>
          </w:p>
        </w:tc>
        <w:tc>
          <w:tcPr>
            <w:tcW w:w="2453" w:type="dxa"/>
            <w:tcBorders>
              <w:top w:val="single" w:sz="4" w:space="0" w:color="000000"/>
              <w:left w:val="single" w:sz="4" w:space="0" w:color="000000"/>
              <w:bottom w:val="single" w:sz="4" w:space="0" w:color="000000"/>
              <w:right w:val="single" w:sz="4" w:space="0" w:color="000000"/>
            </w:tcBorders>
          </w:tcPr>
          <w:p>
            <w:pPr>
              <w:pStyle w:val="Normal"/>
              <w:keepLines/>
              <w:widowControl w:val="false"/>
              <w:suppressLineNumbers/>
              <w:spacing w:lineRule="auto" w:line="240" w:before="0" w:after="0"/>
              <w:ind w:firstLine="69"/>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Размер обеспечения исполнения Контракта</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8"/>
              <w:jc w:val="both"/>
              <w:rPr>
                <w:rFonts w:ascii="Times New Roman" w:hAnsi="Times New Roman" w:eastAsia="Times New Roman" w:cs="Times New Roman"/>
                <w:b/>
                <w:b/>
                <w:sz w:val="24"/>
                <w:szCs w:val="24"/>
                <w:highlight w:val="yellow"/>
                <w:lang w:eastAsia="ru-RU"/>
              </w:rPr>
            </w:pPr>
            <w:r>
              <w:rPr>
                <w:rFonts w:eastAsia="Times New Roman" w:cs="Times New Roman" w:ascii="Times New Roman" w:hAnsi="Times New Roman"/>
                <w:b/>
                <w:sz w:val="24"/>
                <w:szCs w:val="24"/>
                <w:lang w:eastAsia="ru-RU"/>
              </w:rPr>
              <w:t>10% от начальной (максимальной) цены контракта, что составляет 1 958 132,00 рублей (один миллион девятьсот пятьдесят восемь тысяч сто тридцать два рубля 0</w:t>
            </w:r>
            <w:r>
              <w:rPr>
                <w:rFonts w:eastAsia="Times New Roman" w:cs="Times New Roman" w:ascii="Times New Roman" w:hAnsi="Times New Roman"/>
                <w:b/>
                <w:color w:val="000000"/>
                <w:sz w:val="24"/>
                <w:szCs w:val="24"/>
                <w:lang w:eastAsia="ru-RU"/>
              </w:rPr>
              <w:t>0</w:t>
            </w:r>
            <w:r>
              <w:rPr>
                <w:rFonts w:eastAsia="Times New Roman" w:cs="Times New Roman" w:ascii="Times New Roman" w:hAnsi="Times New Roman"/>
                <w:b/>
                <w:sz w:val="24"/>
                <w:szCs w:val="24"/>
                <w:lang w:eastAsia="ru-RU"/>
              </w:rPr>
              <w:t xml:space="preserve"> копеек).</w:t>
            </w:r>
          </w:p>
        </w:tc>
      </w:tr>
      <w:tr>
        <w:trPr/>
        <w:tc>
          <w:tcPr>
            <w:tcW w:w="6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2.1.</w:t>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Способы обеспечения исполнения контракта и общие положения о предоставлении обеспечения исполнения контракта.</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Исполнение контракта может обеспечиваться предоставлением независимой гарантии, выданной банком и соответствующей требованиям статьи 45 Федерального закона № 44-ФЗ.</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Способ обеспечения исполнения контракта определяется участником электронного аукциона, с которым заключается контракт, самостоятельно.</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Обеспечение исполнения контракта должно быть предоставлено одновременно с подписанным участником экземпляром контракта.</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Контракт заключается только после предоставления участником аукциона, с которым заключается контракт обеспечения исполнения контракта.</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44-ФЗ.</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Денежные средства, вносимые в качестве обеспечения исполнения контракта, должны быть перечислены на расчетный счет заказчика, указанный в подпункте 2.3. настоящего подраздела.</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Положения настоящего подраздела об обеспечении исполнения контракта не применяются в случае заключения контракта с участником закупки, который является казенным учреждением.</w:t>
            </w:r>
          </w:p>
        </w:tc>
      </w:tr>
      <w:tr>
        <w:trPr/>
        <w:tc>
          <w:tcPr>
            <w:tcW w:w="6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2.2</w:t>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Срок и порядок предоставления обеспечения исполнения контракта, предоставляемому в виде денежных средств</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Денежные средства, вносимые в обеспечение исполнения контракта, должны быть перечислены на расчетный счет заказчика, указанный в подпункте 2.3. настоящего подраздела.</w:t>
            </w:r>
          </w:p>
        </w:tc>
      </w:tr>
      <w:tr>
        <w:trPr/>
        <w:tc>
          <w:tcPr>
            <w:tcW w:w="6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2.3.</w:t>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eastAsia="Calibri" w:cs="Times New Roman" w:ascii="Times New Roman" w:hAnsi="Times New Roman"/>
                <w:i/>
                <w:iCs/>
                <w:sz w:val="24"/>
                <w:szCs w:val="24"/>
              </w:rPr>
              <w:t xml:space="preserve">Получатель: </w:t>
            </w:r>
            <w:r>
              <w:rPr>
                <w:rFonts w:eastAsia="Calibri" w:cs="Times New Roman" w:ascii="Times New Roman" w:hAnsi="Times New Roman"/>
                <w:b/>
                <w:bCs/>
                <w:sz w:val="24"/>
                <w:szCs w:val="24"/>
              </w:rPr>
              <w:t>АДМИНИСТРАЦИЯ ГОРОДА АРМЯНСКА РЕСПУБЛИКИ КРЫМ</w:t>
            </w:r>
          </w:p>
          <w:p>
            <w:pPr>
              <w:pStyle w:val="Normal"/>
              <w:widowControl w:val="false"/>
              <w:spacing w:lineRule="auto" w:line="240" w:before="0" w:after="0"/>
              <w:rPr>
                <w:rFonts w:ascii="Times New Roman" w:hAnsi="Times New Roman" w:cs="Times New Roman"/>
                <w:sz w:val="24"/>
                <w:szCs w:val="24"/>
                <w:lang w:eastAsia="ru-RU"/>
              </w:rPr>
            </w:pPr>
            <w:r>
              <w:rPr>
                <w:rFonts w:eastAsia="Calibri" w:cs="Times New Roman" w:ascii="Times New Roman" w:hAnsi="Times New Roman"/>
                <w:i/>
                <w:iCs/>
                <w:sz w:val="24"/>
                <w:szCs w:val="24"/>
                <w:lang w:eastAsia="ru-RU"/>
              </w:rPr>
              <w:t xml:space="preserve">Наименование банка: </w:t>
            </w:r>
            <w:r>
              <w:rPr>
                <w:rFonts w:eastAsia="Times New Roman" w:cs="Times New Roman" w:ascii="Times New Roman" w:hAnsi="Times New Roman"/>
                <w:sz w:val="24"/>
                <w:szCs w:val="24"/>
                <w:lang w:eastAsia="ru-RU"/>
              </w:rPr>
              <w:t>БИК 013510002</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БАНК: ОТДЕЛЕНИЕ РЕСПУБЛИКА КРЫМ БАНКА РОССИИ //УФК по Республике Крым г.Симферополь</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р/с 03232643357060007500</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к/с 40102810645370000035</w:t>
            </w:r>
          </w:p>
          <w:p>
            <w:pPr>
              <w:pStyle w:val="Normal"/>
              <w:keepNext w:val="true"/>
              <w:keepLines/>
              <w:widowControl w:val="false"/>
              <w:numPr>
                <w:ilvl w:val="0"/>
                <w:numId w:val="0"/>
              </w:numPr>
              <w:tabs>
                <w:tab w:val="left" w:pos="708" w:leader="none"/>
              </w:tabs>
              <w:spacing w:lineRule="auto" w:line="240" w:before="0" w:after="0"/>
              <w:ind w:left="0" w:hanging="0"/>
              <w:outlineLvl w:val="2"/>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ФИНАНСОВОЕ УПРАВЛЕНИЕ АДМИНИСТРАЦИИ ГОРОДА АРМЯНСКА (Администрация города Армянска Республики Крым л/с 05753251010)</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ИНН 9106002685</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КПП 910601001</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платежном поручении в графе наименование платежа необходимо указать «КБК 00000000000000000000000 Обеспечение гарантийных обязательств по контракту_______________».</w:t>
            </w:r>
          </w:p>
        </w:tc>
      </w:tr>
      <w:tr>
        <w:trPr/>
        <w:tc>
          <w:tcPr>
            <w:tcW w:w="66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1"/>
                <w:numId w:val="5"/>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Срок и порядок предоставления обеспечения исполнения контракта в виде независимой гарантии</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Условия независимой гарантии: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Независимая гарантия должна быть безотзывной и должна содержать:</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от 05.04.2013 № 44-ФЗ, а также идентификационный код закупки, при осуществлении которой предоставляется такая независимая гарантия;</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обязательства принципала, надлежащее исполнение которых обеспечивается независимой гарантией;</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 срок действия независимой гарантии с учетом требований статьи 44 и 96 Федерального закона от 05.04.2013 №44-ФЗ;</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66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1"/>
                <w:numId w:val="5"/>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Порядок возврата денежных средств, вносимых в качестве обеспечения исполнения контракта.</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Возврат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осуществляется в течение  тридцати дней с даты исполнения поставщиком (подрядчиком, исполнителем) обязательств, предусмотренных контрактом.</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Денежные средства возвращаются по реквизитам, указанным поставщиком (подрядчиком, исполнителем) в контракте.</w:t>
            </w:r>
          </w:p>
        </w:tc>
      </w:tr>
      <w:tr>
        <w:trPr/>
        <w:tc>
          <w:tcPr>
            <w:tcW w:w="66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1"/>
                <w:numId w:val="5"/>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pacing w:lineRule="auto" w:line="240" w:before="0" w:after="0"/>
              <w:contextualSpacing/>
              <w:jc w:val="both"/>
              <w:rPr>
                <w:rFonts w:ascii="Times New Roman" w:hAnsi="Times New Roman" w:eastAsia="Times New Roman" w:cs="Times New Roman"/>
                <w:sz w:val="24"/>
                <w:szCs w:val="20"/>
                <w:lang w:eastAsia="ar-SA"/>
              </w:rPr>
            </w:pPr>
            <w:r>
              <w:rPr>
                <w:rFonts w:eastAsia="Times New Roman" w:cs="Times New Roman" w:ascii="Times New Roman" w:hAnsi="Times New Roman"/>
                <w:sz w:val="24"/>
                <w:szCs w:val="20"/>
                <w:lang w:eastAsia="ar-SA"/>
              </w:rPr>
              <w:t>Размер обеспечения гарантийных обязательств</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33"/>
              <w:contextualSpacing/>
              <w:jc w:val="both"/>
              <w:rPr>
                <w:rFonts w:ascii="Times New Roman" w:hAnsi="Times New Roman" w:eastAsia="Times New Roman" w:cs="Times New Roman"/>
                <w:b/>
                <w:b/>
                <w:sz w:val="24"/>
                <w:szCs w:val="24"/>
                <w:highlight w:val="yellow"/>
                <w:lang w:eastAsia="ru-RU"/>
              </w:rPr>
            </w:pPr>
            <w:r>
              <w:rPr>
                <w:rFonts w:eastAsia="Times New Roman" w:cs="Times New Roman" w:ascii="Times New Roman" w:hAnsi="Times New Roman"/>
                <w:b/>
                <w:sz w:val="24"/>
                <w:szCs w:val="24"/>
                <w:lang w:eastAsia="ru-RU"/>
              </w:rPr>
              <w:t>10% от начальной (максимальной) цены контракта, что составляет 1 958 132,00 рублей (один миллион девятьсот пятьдесят восемь тысяч сто тридцать два рубля 00 копеек).</w:t>
            </w:r>
          </w:p>
        </w:tc>
      </w:tr>
      <w:tr>
        <w:trPr/>
        <w:tc>
          <w:tcPr>
            <w:tcW w:w="66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1"/>
                <w:numId w:val="5"/>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pacing w:lineRule="auto" w:line="240" w:before="0" w:after="0"/>
              <w:contextualSpacing/>
              <w:rPr>
                <w:rFonts w:ascii="Times New Roman" w:hAnsi="Times New Roman" w:eastAsia="Times New Roman" w:cs="Times New Roman"/>
                <w:sz w:val="24"/>
                <w:szCs w:val="20"/>
                <w:lang w:eastAsia="ar-SA"/>
              </w:rPr>
            </w:pPr>
            <w:r>
              <w:rPr>
                <w:rFonts w:eastAsia="Times New Roman" w:cs="Times New Roman" w:ascii="Times New Roman" w:hAnsi="Times New Roman"/>
                <w:sz w:val="24"/>
                <w:szCs w:val="20"/>
                <w:lang w:eastAsia="ar-SA"/>
              </w:rPr>
              <w:t>Способы  обеспечения гарантийных обязательств</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33"/>
              <w:contextualSpacing/>
              <w:jc w:val="both"/>
              <w:rPr>
                <w:rFonts w:ascii="Times New Roman" w:hAnsi="Times New Roman" w:eastAsia="Times New Roman" w:cs="Arial"/>
                <w:sz w:val="24"/>
                <w:szCs w:val="20"/>
                <w:lang w:eastAsia="ar-SA"/>
              </w:rPr>
            </w:pPr>
            <w:r>
              <w:rPr>
                <w:rFonts w:eastAsia="Times New Roman" w:cs="Arial" w:ascii="Times New Roman" w:hAnsi="Times New Roman"/>
                <w:sz w:val="24"/>
                <w:szCs w:val="20"/>
                <w:lang w:eastAsia="ar-SA"/>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Подрядчиком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pPr>
              <w:pStyle w:val="Normal"/>
              <w:widowControl w:val="false"/>
              <w:spacing w:lineRule="auto" w:line="240" w:before="0" w:after="0"/>
              <w:ind w:firstLine="33"/>
              <w:contextualSpacing/>
              <w:jc w:val="both"/>
              <w:rPr>
                <w:rFonts w:ascii="Times New Roman" w:hAnsi="Times New Roman" w:eastAsia="Times New Roman"/>
                <w:sz w:val="24"/>
              </w:rPr>
            </w:pPr>
            <w:r>
              <w:rPr>
                <w:rFonts w:eastAsia="Times New Roman" w:cs="Arial" w:ascii="Times New Roman" w:hAnsi="Times New Roman"/>
                <w:sz w:val="24"/>
                <w:szCs w:val="20"/>
                <w:lang w:eastAsia="ar-SA"/>
              </w:rPr>
              <w:t>Гарантийные обязательства могут обеспечиваться предоставлением независимой гарантией, выданной банком и соответствующей требованиям статьи 45 Федерального закона № 44-ФЗ или внесением денежных средст</w:t>
            </w:r>
            <w:r>
              <w:rPr>
                <w:rFonts w:eastAsia="Times New Roman" w:cs="Times New Roman" w:ascii="Times New Roman" w:hAnsi="Times New Roman"/>
                <w:sz w:val="24"/>
                <w:szCs w:val="24"/>
                <w:lang w:eastAsia="ar-SA"/>
              </w:rPr>
              <w:t>в</w:t>
            </w:r>
            <w:r>
              <w:rPr>
                <w:rFonts w:eastAsia="Times New Roman" w:cs="Times New Roman" w:ascii="Times New Roman" w:hAnsi="Times New Roman"/>
                <w:sz w:val="24"/>
                <w:szCs w:val="24"/>
                <w:lang w:eastAsia="ru-RU"/>
              </w:rPr>
              <w:t xml:space="preserve"> насчет указанный в подпункте 2.10. настоящего подраздела</w:t>
            </w:r>
            <w:r>
              <w:rPr>
                <w:rFonts w:eastAsia="Times New Roman" w:cs="Times New Roman" w:ascii="Times New Roman" w:hAnsi="Times New Roman"/>
                <w:sz w:val="24"/>
                <w:szCs w:val="24"/>
                <w:lang w:eastAsia="ar-SA"/>
              </w:rPr>
              <w:t>.</w:t>
            </w:r>
          </w:p>
          <w:p>
            <w:pPr>
              <w:pStyle w:val="Normal"/>
              <w:widowControl w:val="false"/>
              <w:spacing w:lineRule="auto" w:line="240" w:before="0" w:after="0"/>
              <w:ind w:firstLine="33"/>
              <w:contextualSpacing/>
              <w:jc w:val="both"/>
              <w:rPr>
                <w:rFonts w:ascii="Times New Roman" w:hAnsi="Times New Roman" w:eastAsia="Times New Roman" w:cs="Arial"/>
                <w:sz w:val="24"/>
                <w:szCs w:val="20"/>
                <w:lang w:eastAsia="ar-SA"/>
              </w:rPr>
            </w:pPr>
            <w:r>
              <w:rPr>
                <w:rFonts w:eastAsia="Times New Roman" w:cs="Arial" w:ascii="Times New Roman" w:hAnsi="Times New Roman"/>
                <w:sz w:val="24"/>
                <w:szCs w:val="20"/>
                <w:lang w:eastAsia="ar-SA"/>
              </w:rPr>
              <w:t>Способ обеспечения гарантийных обязательств определяются участником закупки самостоятельно.</w:t>
            </w:r>
          </w:p>
          <w:p>
            <w:pPr>
              <w:pStyle w:val="Normal"/>
              <w:keepNext w:val="true"/>
              <w:widowControl w:val="false"/>
              <w:numPr>
                <w:ilvl w:val="0"/>
                <w:numId w:val="0"/>
              </w:numPr>
              <w:spacing w:lineRule="auto" w:line="240" w:before="0" w:after="0"/>
              <w:ind w:left="0" w:firstLine="459"/>
              <w:jc w:val="both"/>
              <w:outlineLvl w:val="2"/>
              <w:rPr>
                <w:rFonts w:ascii="Times New Roman" w:hAnsi="Times New Roman" w:eastAsia="Times New Roman" w:cs="Arial"/>
                <w:sz w:val="24"/>
                <w:szCs w:val="24"/>
                <w:lang w:eastAsia="ru-RU"/>
              </w:rPr>
            </w:pPr>
            <w:r>
              <w:rPr>
                <w:rFonts w:eastAsia="Times New Roman" w:cs="Arial" w:ascii="Times New Roman" w:hAnsi="Times New Roman"/>
                <w:sz w:val="24"/>
                <w:szCs w:val="24"/>
                <w:lang w:eastAsia="ru-RU"/>
              </w:rPr>
              <w:t>Положения Федерального закона № 44-ФЗ об обеспечении гарантийных обязательств не применяются в случае:</w:t>
            </w:r>
          </w:p>
          <w:p>
            <w:pPr>
              <w:pStyle w:val="Normal"/>
              <w:keepNext w:val="true"/>
              <w:widowControl w:val="false"/>
              <w:numPr>
                <w:ilvl w:val="0"/>
                <w:numId w:val="0"/>
              </w:numPr>
              <w:spacing w:lineRule="auto" w:line="240" w:before="0" w:after="0"/>
              <w:ind w:left="0" w:firstLine="459"/>
              <w:jc w:val="both"/>
              <w:outlineLvl w:val="2"/>
              <w:rPr>
                <w:rFonts w:ascii="Times New Roman" w:hAnsi="Times New Roman" w:eastAsia="Times New Roman" w:cs="Arial"/>
                <w:sz w:val="24"/>
                <w:szCs w:val="24"/>
                <w:lang w:eastAsia="ru-RU"/>
              </w:rPr>
            </w:pPr>
            <w:r>
              <w:rPr>
                <w:rFonts w:eastAsia="Times New Roman" w:cs="Arial" w:ascii="Times New Roman" w:hAnsi="Times New Roman"/>
                <w:sz w:val="24"/>
                <w:szCs w:val="24"/>
                <w:lang w:eastAsia="ru-RU"/>
              </w:rPr>
              <w:t>1) заключения контракта с участником закупки, который является казенным учреждением;</w:t>
            </w:r>
          </w:p>
          <w:p>
            <w:pPr>
              <w:pStyle w:val="Normal"/>
              <w:keepNext w:val="true"/>
              <w:widowControl w:val="false"/>
              <w:numPr>
                <w:ilvl w:val="0"/>
                <w:numId w:val="0"/>
              </w:numPr>
              <w:spacing w:lineRule="auto" w:line="240" w:before="0" w:after="0"/>
              <w:ind w:left="0" w:firstLine="459"/>
              <w:jc w:val="both"/>
              <w:outlineLvl w:val="2"/>
              <w:rPr>
                <w:rFonts w:ascii="Times New Roman" w:hAnsi="Times New Roman" w:eastAsia="Times New Roman" w:cs="Arial"/>
                <w:sz w:val="24"/>
                <w:szCs w:val="24"/>
                <w:lang w:eastAsia="ru-RU"/>
              </w:rPr>
            </w:pPr>
            <w:r>
              <w:rPr>
                <w:rFonts w:eastAsia="Times New Roman" w:cs="Arial" w:ascii="Times New Roman" w:hAnsi="Times New Roman"/>
                <w:sz w:val="24"/>
                <w:szCs w:val="24"/>
                <w:lang w:eastAsia="ru-RU"/>
              </w:rPr>
              <w:t>2) осуществления закупки услуги по предоставлению кредита;</w:t>
            </w:r>
          </w:p>
          <w:p>
            <w:pPr>
              <w:pStyle w:val="Normal"/>
              <w:keepNext w:val="true"/>
              <w:widowControl w:val="false"/>
              <w:numPr>
                <w:ilvl w:val="0"/>
                <w:numId w:val="0"/>
              </w:numPr>
              <w:spacing w:lineRule="auto" w:line="240" w:before="0" w:after="0"/>
              <w:ind w:left="0" w:firstLine="459"/>
              <w:jc w:val="both"/>
              <w:outlineLvl w:val="2"/>
              <w:rPr>
                <w:rFonts w:ascii="Times New Roman" w:hAnsi="Times New Roman" w:eastAsia="Times New Roman" w:cs="Arial"/>
                <w:sz w:val="24"/>
                <w:szCs w:val="24"/>
                <w:lang w:eastAsia="ru-RU"/>
              </w:rPr>
            </w:pPr>
            <w:r>
              <w:rPr>
                <w:rFonts w:eastAsia="Times New Roman" w:cs="Arial" w:ascii="Times New Roman" w:hAnsi="Times New Roman"/>
                <w:sz w:val="24"/>
                <w:szCs w:val="24"/>
                <w:lang w:eastAsia="ru-RU"/>
              </w:rP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tc>
      </w:tr>
      <w:tr>
        <w:trPr/>
        <w:tc>
          <w:tcPr>
            <w:tcW w:w="66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1"/>
                <w:numId w:val="5"/>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pacing w:lineRule="auto" w:line="240" w:before="0" w:after="0"/>
              <w:contextualSpacing/>
              <w:rPr>
                <w:rFonts w:ascii="Times New Roman" w:hAnsi="Times New Roman" w:eastAsia="Times New Roman" w:cs="Times New Roman"/>
                <w:sz w:val="24"/>
                <w:szCs w:val="20"/>
                <w:lang w:eastAsia="ar-SA"/>
              </w:rPr>
            </w:pPr>
            <w:r>
              <w:rPr>
                <w:rFonts w:eastAsia="Times New Roman" w:cs="Times New Roman" w:ascii="Times New Roman" w:hAnsi="Times New Roman"/>
                <w:sz w:val="24"/>
                <w:szCs w:val="20"/>
                <w:lang w:eastAsia="ar-SA"/>
              </w:rPr>
              <w:t>Срок и порядок предоставления обеспечения гарантийных обязательств, предоставляемому в виде денежных средств</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33"/>
              <w:contextualSpacing/>
              <w:jc w:val="both"/>
              <w:rPr>
                <w:rFonts w:ascii="Times New Roman" w:hAnsi="Times New Roman" w:eastAsia="Times New Roman" w:cs="Arial"/>
                <w:sz w:val="24"/>
                <w:szCs w:val="20"/>
                <w:lang w:eastAsia="ar-SA"/>
              </w:rPr>
            </w:pPr>
            <w:r>
              <w:rPr>
                <w:rFonts w:eastAsia="Times New Roman" w:cs="Arial" w:ascii="Times New Roman" w:hAnsi="Times New Roman"/>
                <w:sz w:val="24"/>
                <w:szCs w:val="20"/>
                <w:lang w:eastAsia="ar-SA"/>
              </w:rPr>
              <w:t>Денежные средства, вносимые в обеспечение гарантийных обязательств, должны быть перечислены на расчетный счет заказчика, указанный в п. 7. настоящего подраздела.</w:t>
            </w:r>
          </w:p>
          <w:p>
            <w:pPr>
              <w:pStyle w:val="Normal"/>
              <w:widowControl w:val="false"/>
              <w:spacing w:lineRule="auto" w:line="240" w:before="0" w:after="0"/>
              <w:ind w:firstLine="33"/>
              <w:contextualSpacing/>
              <w:jc w:val="both"/>
              <w:rPr>
                <w:rFonts w:ascii="Times New Roman" w:hAnsi="Times New Roman" w:eastAsia="Times New Roman" w:cs="Arial"/>
                <w:sz w:val="24"/>
                <w:szCs w:val="20"/>
                <w:lang w:eastAsia="ar-SA"/>
              </w:rPr>
            </w:pPr>
            <w:r>
              <w:rPr>
                <w:rFonts w:eastAsia="Times New Roman" w:cs="Arial" w:ascii="Times New Roman" w:hAnsi="Times New Roman"/>
                <w:sz w:val="24"/>
                <w:szCs w:val="20"/>
                <w:lang w:eastAsia="ar-SA"/>
              </w:rPr>
              <w:t>Денежные средства возвращаются Подрядчику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V. «Проект контракта» настоящей документации).</w:t>
            </w:r>
          </w:p>
          <w:p>
            <w:pPr>
              <w:pStyle w:val="Normal"/>
              <w:widowControl w:val="false"/>
              <w:spacing w:lineRule="auto" w:line="240" w:before="0" w:after="0"/>
              <w:ind w:firstLine="33"/>
              <w:contextualSpacing/>
              <w:jc w:val="both"/>
              <w:rPr>
                <w:rFonts w:ascii="Times New Roman" w:hAnsi="Times New Roman" w:eastAsia="Times New Roman" w:cs="Arial"/>
                <w:sz w:val="24"/>
                <w:szCs w:val="20"/>
                <w:lang w:eastAsia="ar-SA"/>
              </w:rPr>
            </w:pPr>
            <w:r>
              <w:rPr>
                <w:rFonts w:eastAsia="Times New Roman" w:cs="Arial" w:ascii="Times New Roman" w:hAnsi="Times New Roman"/>
                <w:sz w:val="24"/>
                <w:szCs w:val="20"/>
                <w:lang w:eastAsia="ar-SA"/>
              </w:rPr>
              <w:t>Денежные средства возвращаются по реквизитам, указанным Подрядчиком (подрядчиком, исполнителем) в муниципальном  контракте</w:t>
            </w:r>
          </w:p>
        </w:tc>
      </w:tr>
      <w:tr>
        <w:trPr/>
        <w:tc>
          <w:tcPr>
            <w:tcW w:w="66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1"/>
                <w:numId w:val="5"/>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pacing w:lineRule="auto" w:line="240" w:before="0" w:after="0"/>
              <w:contextualSpacing/>
              <w:rPr>
                <w:rFonts w:ascii="Times New Roman" w:hAnsi="Times New Roman" w:eastAsia="Times New Roman" w:cs="Times New Roman"/>
                <w:sz w:val="24"/>
                <w:szCs w:val="20"/>
                <w:lang w:eastAsia="ar-SA"/>
              </w:rPr>
            </w:pPr>
            <w:r>
              <w:rPr>
                <w:rFonts w:eastAsia="Times New Roman" w:cs="Times New Roman" w:ascii="Times New Roman" w:hAnsi="Times New Roman"/>
                <w:sz w:val="24"/>
                <w:szCs w:val="20"/>
                <w:lang w:eastAsia="ar-SA"/>
              </w:rPr>
              <w:t>Срок и порядок предоставления обеспечения гарантийных обязательств в виде независимой гарантии</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235"/>
              <w:jc w:val="both"/>
              <w:rPr>
                <w:rFonts w:ascii="Times New Roman" w:hAnsi="Times New Roman" w:eastAsia="Times New Roman" w:cs="Times New Roman"/>
                <w:sz w:val="24"/>
                <w:szCs w:val="24"/>
                <w:shd w:fill="auto" w:val="clear"/>
                <w:lang w:eastAsia="ru-RU"/>
              </w:rPr>
            </w:pPr>
            <w:r>
              <w:rPr>
                <w:rFonts w:eastAsia="Times New Roman" w:cs="Times New Roman" w:ascii="Times New Roman" w:hAnsi="Times New Roman"/>
                <w:sz w:val="24"/>
                <w:szCs w:val="24"/>
                <w:shd w:fill="auto" w:val="clear"/>
                <w:lang w:eastAsia="ru-RU"/>
              </w:rPr>
              <w:t>Гарантийные обязательства могут обеспечиваться предоставлением независимой гарантии, выданной банком и 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настоящего Федерального закона.</w:t>
            </w:r>
          </w:p>
          <w:p>
            <w:pPr>
              <w:pStyle w:val="Normal"/>
              <w:widowControl w:val="false"/>
              <w:spacing w:lineRule="auto" w:line="240" w:before="0" w:after="0"/>
              <w:ind w:hanging="0"/>
              <w:jc w:val="both"/>
              <w:rPr>
                <w:rFonts w:ascii="Times New Roman" w:hAnsi="Times New Roman" w:eastAsia="Times New Roman" w:cs="Times New Roman"/>
                <w:sz w:val="24"/>
                <w:szCs w:val="24"/>
                <w:shd w:fill="auto" w:val="clear"/>
                <w:lang w:eastAsia="ru-RU"/>
              </w:rPr>
            </w:pPr>
            <w:r>
              <w:rPr>
                <w:rFonts w:eastAsia="Times New Roman" w:cs="Times New Roman" w:ascii="Times New Roman" w:hAnsi="Times New Roman"/>
                <w:sz w:val="24"/>
                <w:szCs w:val="24"/>
                <w:shd w:fill="auto" w:val="clear"/>
                <w:lang w:eastAsia="ru-RU"/>
              </w:rPr>
            </w:r>
          </w:p>
        </w:tc>
      </w:tr>
      <w:tr>
        <w:trPr/>
        <w:tc>
          <w:tcPr>
            <w:tcW w:w="66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1"/>
                <w:numId w:val="5"/>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rPr>
                <w:rFonts w:ascii="Times New Roman" w:hAnsi="Times New Roman" w:eastAsia="Times New Roman" w:cs="Times New Roman"/>
                <w:sz w:val="24"/>
                <w:szCs w:val="20"/>
                <w:lang w:eastAsia="ru-RU"/>
              </w:rPr>
            </w:pPr>
            <w:r>
              <w:rPr>
                <w:rFonts w:eastAsia="Times New Roman" w:cs="Times New Roman" w:ascii="Times New Roman" w:hAnsi="Times New Roman"/>
                <w:sz w:val="24"/>
                <w:szCs w:val="20"/>
                <w:lang w:eastAsia="ru-RU"/>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eastAsia="Calibri" w:cs="Times New Roman" w:ascii="Times New Roman" w:hAnsi="Times New Roman"/>
                <w:i/>
                <w:iCs/>
                <w:sz w:val="24"/>
                <w:szCs w:val="24"/>
              </w:rPr>
              <w:t xml:space="preserve">Получатель: </w:t>
            </w:r>
            <w:r>
              <w:rPr>
                <w:rFonts w:eastAsia="Calibri" w:cs="Times New Roman" w:ascii="Times New Roman" w:hAnsi="Times New Roman"/>
                <w:b/>
                <w:bCs/>
                <w:sz w:val="24"/>
                <w:szCs w:val="24"/>
              </w:rPr>
              <w:t>АДМИНИСТРАЦИЯ ГОРОДА АРМЯНСКА РЕСПУБЛИКИ КРЫМ</w:t>
            </w:r>
          </w:p>
          <w:p>
            <w:pPr>
              <w:pStyle w:val="Normal"/>
              <w:widowControl w:val="false"/>
              <w:spacing w:lineRule="auto" w:line="240" w:before="0" w:after="0"/>
              <w:rPr>
                <w:rFonts w:ascii="Times New Roman" w:hAnsi="Times New Roman" w:cs="Times New Roman"/>
                <w:sz w:val="24"/>
                <w:szCs w:val="24"/>
                <w:lang w:eastAsia="ru-RU"/>
              </w:rPr>
            </w:pPr>
            <w:r>
              <w:rPr>
                <w:rFonts w:eastAsia="Calibri" w:cs="Times New Roman" w:ascii="Times New Roman" w:hAnsi="Times New Roman"/>
                <w:i/>
                <w:iCs/>
                <w:sz w:val="24"/>
                <w:szCs w:val="24"/>
                <w:lang w:eastAsia="ru-RU"/>
              </w:rPr>
              <w:t xml:space="preserve">Наименование банка: </w:t>
            </w:r>
            <w:r>
              <w:rPr>
                <w:rFonts w:eastAsia="Times New Roman" w:cs="Times New Roman" w:ascii="Times New Roman" w:hAnsi="Times New Roman"/>
                <w:sz w:val="24"/>
                <w:szCs w:val="24"/>
                <w:lang w:eastAsia="ru-RU"/>
              </w:rPr>
              <w:t>БИК 013510002</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БАНК: ОТДЕЛЕНИЕ РЕСПУБЛИКА КРЫМ БАНКА РОССИИ //УФК по Республике Крым г.Симферополь</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р/с 03232643357060007500</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к/с 40102810645370000035</w:t>
            </w:r>
          </w:p>
          <w:p>
            <w:pPr>
              <w:pStyle w:val="Normal"/>
              <w:keepNext w:val="true"/>
              <w:keepLines/>
              <w:widowControl w:val="false"/>
              <w:numPr>
                <w:ilvl w:val="0"/>
                <w:numId w:val="0"/>
              </w:numPr>
              <w:tabs>
                <w:tab w:val="left" w:pos="708" w:leader="none"/>
              </w:tabs>
              <w:spacing w:lineRule="auto" w:line="240" w:before="0" w:after="0"/>
              <w:ind w:left="0" w:hanging="0"/>
              <w:outlineLvl w:val="2"/>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ФИНАНСОВОЕ УПРАВЛЕНИЕ АДМИНИСТРАЦИИ ГОРОДА АРМЯНСКА (Администрация города Армянска Республики Крым л/с 05753251010)</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ИНН 9106002685</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КПП 910601001</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платежном поручении в графе наименование платежа необходимо указать «КБК 00000000000000000000000 Обеспечение гарантийных обязательств по контракту_______________».</w:t>
            </w:r>
          </w:p>
        </w:tc>
      </w:tr>
      <w:tr>
        <w:trPr/>
        <w:tc>
          <w:tcPr>
            <w:tcW w:w="66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Антидемпинговые меры</w:t>
            </w:r>
          </w:p>
          <w:p>
            <w:pPr>
              <w:pStyle w:val="Normal"/>
              <w:widowControl w:val="false"/>
              <w:suppressLineNumbers/>
              <w:spacing w:lineRule="auto" w:line="240" w:before="0" w:after="0"/>
              <w:jc w:val="both"/>
              <w:rPr>
                <w:rFonts w:ascii="Times New Roman" w:hAnsi="Times New Roman" w:eastAsia="Times New Roman" w:cs="Times New Roman"/>
                <w:i/>
                <w:i/>
                <w:sz w:val="24"/>
                <w:szCs w:val="24"/>
                <w:lang w:eastAsia="ar-SA"/>
              </w:rPr>
            </w:pPr>
            <w:r>
              <w:rPr>
                <w:rFonts w:eastAsia="Times New Roman" w:cs="Times New Roman" w:ascii="Times New Roman" w:hAnsi="Times New Roman"/>
                <w:i/>
                <w:sz w:val="24"/>
                <w:szCs w:val="24"/>
                <w:lang w:eastAsia="ar-SA"/>
              </w:rPr>
              <w:t>в соответствии со статьей 37 Федерального закона</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Если при проведении закупки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tc>
      </w:tr>
      <w:tr>
        <w:trPr/>
        <w:tc>
          <w:tcPr>
            <w:tcW w:w="66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spacing w:lineRule="auto" w:line="240" w:before="0" w:after="6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2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Основания для отказа в принятии независимой гарантии заказчиком</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2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отсутствие информации о независимой гарантии в предусмотренном статьей 45 Федерального закона № 44-ФЗ реестре независимых гарантий;</w:t>
            </w:r>
          </w:p>
          <w:p>
            <w:pPr>
              <w:pStyle w:val="Normal"/>
              <w:widowControl w:val="false"/>
              <w:spacing w:lineRule="auto" w:line="240" w:before="0" w:after="12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несоответствие независимой гарантии условиям, указанным в частях 2 и 3 статьи 45 Федерального закона № 44-ФЗ;</w:t>
            </w:r>
          </w:p>
          <w:p>
            <w:pPr>
              <w:pStyle w:val="Normal"/>
              <w:widowControl w:val="false"/>
              <w:spacing w:lineRule="auto" w:line="240" w:before="0" w:after="12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 несоответствие независимой гарантии требованиям, содержащимся в извещении об осуществлении закупки и документации о закупке.</w:t>
            </w:r>
          </w:p>
        </w:tc>
      </w:tr>
    </w:tbl>
    <w:p>
      <w:pPr>
        <w:sectPr>
          <w:type w:val="nextPage"/>
          <w:pgSz w:w="11906" w:h="16838"/>
          <w:pgMar w:left="1701" w:right="850" w:header="0" w:top="1134" w:footer="0" w:bottom="1134" w:gutter="0"/>
          <w:pgNumType w:fmt="decimal"/>
          <w:formProt w:val="false"/>
          <w:textDirection w:val="lrTb"/>
          <w:docGrid w:type="default" w:linePitch="360" w:charSpace="12288"/>
        </w:sectPr>
      </w:pPr>
    </w:p>
    <w:p>
      <w:pPr>
        <w:pStyle w:val="Normal"/>
        <w:spacing w:lineRule="auto" w:line="240" w:before="0" w:after="0"/>
        <w:jc w:val="center"/>
        <w:rPr>
          <w:rFonts w:ascii="Times New Roman" w:hAnsi="Times New Roman"/>
        </w:rPr>
      </w:pPr>
      <w:r>
        <w:rPr>
          <w:rFonts w:eastAsia="Times New Roman" w:cs="Times New Roman" w:ascii="Times New Roman" w:hAnsi="Times New Roman"/>
          <w:b/>
          <w:bCs/>
          <w:sz w:val="24"/>
          <w:szCs w:val="24"/>
          <w:lang w:eastAsia="ru-RU"/>
        </w:rPr>
        <w:t>II. ОПИСАНИЕ ОБЪЕКТА ЗАКУПКИ (ТЕХНИЧЕСКОЕ ЗАДАНИЕ)</w:t>
      </w:r>
    </w:p>
    <w:p>
      <w:pPr>
        <w:pStyle w:val="Normal"/>
        <w:suppressAutoHyphens w:val="false"/>
        <w:spacing w:lineRule="auto" w:line="240" w:before="0" w:after="0"/>
        <w:ind w:firstLine="709"/>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sz w:val="24"/>
          <w:szCs w:val="24"/>
          <w:lang w:eastAsia="ru-RU"/>
        </w:rPr>
        <w:t xml:space="preserve">на </w:t>
      </w:r>
      <w:r>
        <w:rPr>
          <w:rFonts w:eastAsia="Times New Roman" w:cs="Times New Roman" w:ascii="Times New Roman" w:hAnsi="Times New Roman"/>
          <w:color w:val="000000"/>
          <w:sz w:val="24"/>
          <w:szCs w:val="24"/>
          <w:lang w:eastAsia="ru-RU"/>
        </w:rPr>
        <w:t>выполнение работ  по объекту «</w:t>
      </w:r>
      <w:r>
        <w:rPr>
          <w:rFonts w:eastAsia="Times New Roman" w:cs="Times New Roman" w:ascii="Times New Roman" w:hAnsi="Times New Roman"/>
          <w:sz w:val="24"/>
          <w:szCs w:val="24"/>
          <w:lang w:eastAsia="ru-RU"/>
        </w:rPr>
        <w:t>Капитальный ремонт дворовых и прилегающих территорий к домам 9,10,11,12,13 мкн. им. ген. Васильева города Армянска</w:t>
      </w:r>
      <w:r>
        <w:rPr>
          <w:rFonts w:eastAsia="Times New Roman" w:cs="Times New Roman" w:ascii="Times New Roman" w:hAnsi="Times New Roman"/>
          <w:color w:val="000000"/>
          <w:sz w:val="24"/>
          <w:szCs w:val="24"/>
          <w:lang w:eastAsia="ru-RU"/>
        </w:rPr>
        <w:t>»</w:t>
      </w:r>
    </w:p>
    <w:p>
      <w:pPr>
        <w:pStyle w:val="Normal"/>
        <w:suppressAutoHyphens w:val="false"/>
        <w:spacing w:lineRule="auto" w:line="240" w:before="0" w:after="0"/>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10066" w:type="dxa"/>
        <w:jc w:val="left"/>
        <w:tblInd w:w="5" w:type="dxa"/>
        <w:tblLayout w:type="fixed"/>
        <w:tblCellMar>
          <w:top w:w="0" w:type="dxa"/>
          <w:left w:w="5" w:type="dxa"/>
          <w:bottom w:w="0" w:type="dxa"/>
          <w:right w:w="5" w:type="dxa"/>
        </w:tblCellMar>
        <w:tblLook w:firstRow="1" w:noVBand="1" w:lastRow="0" w:firstColumn="1" w:lastColumn="0" w:noHBand="0" w:val="04a0"/>
      </w:tblPr>
      <w:tblGrid>
        <w:gridCol w:w="741"/>
        <w:gridCol w:w="2520"/>
        <w:gridCol w:w="6805"/>
      </w:tblGrid>
      <w:tr>
        <w:trPr/>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0"/>
              </w:numPr>
              <w:suppressAutoHyphens w:val="false"/>
              <w:snapToGrid w:val="false"/>
              <w:spacing w:lineRule="auto" w:line="240" w:before="0" w:after="0"/>
              <w:ind w:left="0" w:hanging="360"/>
              <w:contextualSpacing/>
              <w:rPr>
                <w:rFonts w:ascii="Times New Roman" w:hAnsi="Times New Roman" w:eastAsia="Times New Roman" w:cs="Times New Roman"/>
                <w:b/>
                <w:b/>
                <w:sz w:val="24"/>
                <w:szCs w:val="24"/>
              </w:rPr>
            </w:pPr>
            <w:r>
              <w:rPr>
                <w:rFonts w:eastAsia="Times New Roman" w:cs="Times New Roman" w:ascii="Times New Roman" w:hAnsi="Times New Roman"/>
                <w:b/>
              </w:rPr>
              <w:t>1.</w:t>
            </w:r>
          </w:p>
        </w:tc>
        <w:tc>
          <w:tcPr>
            <w:tcW w:w="25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napToGrid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Место выполнения работ</w:t>
            </w:r>
          </w:p>
        </w:tc>
        <w:tc>
          <w:tcPr>
            <w:tcW w:w="680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ind w:left="69" w:right="74" w:hanging="0"/>
              <w:jc w:val="both"/>
              <w:textAlignment w:val="baseline"/>
              <w:rPr>
                <w:rFonts w:ascii="Times New Roman" w:hAnsi="Times New Roman" w:eastAsia="Times New Roman" w:cs="Times New Roman"/>
                <w:bCs/>
                <w:sz w:val="24"/>
                <w:szCs w:val="24"/>
              </w:rPr>
            </w:pPr>
            <w:r>
              <w:rPr>
                <w:rFonts w:eastAsia="Times New Roman" w:cs="Times New Roman" w:ascii="Times New Roman" w:hAnsi="Times New Roman"/>
                <w:sz w:val="24"/>
                <w:szCs w:val="24"/>
              </w:rPr>
              <w:t xml:space="preserve">296012 Республика Крым, </w:t>
            </w:r>
            <w:r>
              <w:rPr>
                <w:rFonts w:eastAsia="Times New Roman" w:cs="Times New Roman" w:ascii="Times New Roman" w:hAnsi="Times New Roman"/>
                <w:bCs/>
                <w:sz w:val="24"/>
                <w:szCs w:val="24"/>
              </w:rPr>
              <w:t>г. Армянск, мкн.им.ген. Васильева</w:t>
            </w:r>
          </w:p>
        </w:tc>
      </w:tr>
      <w:tr>
        <w:trPr/>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1"/>
              </w:numPr>
              <w:suppressAutoHyphens w:val="false"/>
              <w:snapToGrid w:val="false"/>
              <w:spacing w:lineRule="auto" w:line="240" w:before="0" w:after="0"/>
              <w:ind w:left="0" w:hanging="360"/>
              <w:contextualSpacing/>
              <w:rPr>
                <w:rFonts w:ascii="Times New Roman" w:hAnsi="Times New Roman" w:eastAsia="Times New Roman" w:cs="Times New Roman"/>
                <w:b/>
                <w:b/>
                <w:sz w:val="24"/>
                <w:szCs w:val="24"/>
              </w:rPr>
            </w:pPr>
            <w:r>
              <w:rPr>
                <w:rFonts w:eastAsia="Times New Roman" w:cs="Times New Roman" w:ascii="Times New Roman" w:hAnsi="Times New Roman"/>
                <w:b/>
              </w:rPr>
              <w:t>2.</w:t>
            </w:r>
          </w:p>
        </w:tc>
        <w:tc>
          <w:tcPr>
            <w:tcW w:w="25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napToGrid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Описание объекта и  технического состояния</w:t>
            </w:r>
          </w:p>
        </w:tc>
        <w:tc>
          <w:tcPr>
            <w:tcW w:w="680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eastAsia="ru-RU"/>
              </w:rPr>
              <w:t>Капитальный ремонт дворовых и прилегающих территорий к домам 9,10,11,12,13 мкн. им. ген. Васильева города Армянска</w:t>
            </w:r>
            <w:r>
              <w:rPr>
                <w:rFonts w:eastAsia="Times New Roman" w:cs="Times New Roman" w:ascii="Times New Roman" w:hAnsi="Times New Roman"/>
                <w:sz w:val="24"/>
                <w:szCs w:val="24"/>
              </w:rPr>
              <w:t>, предназначенных для массового досуга всех возрастных групп населения.</w:t>
            </w:r>
          </w:p>
          <w:p>
            <w:pPr>
              <w:pStyle w:val="Normal"/>
              <w:widowControl w:val="false"/>
              <w:suppressAutoHyphens w:val="false"/>
              <w:spacing w:lineRule="auto" w:line="240" w:before="0" w:after="0"/>
              <w:ind w:left="69" w:right="74" w:hanging="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Объект действующий</w:t>
            </w:r>
          </w:p>
          <w:p>
            <w:pPr>
              <w:pStyle w:val="Normal"/>
              <w:widowControl w:val="false"/>
              <w:suppressAutoHyphens w:val="false"/>
              <w:spacing w:lineRule="auto" w:line="240" w:before="0" w:after="0"/>
              <w:ind w:left="69" w:right="74" w:hanging="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Техническо-экономические показатели объекта капитального строительства:</w:t>
            </w:r>
          </w:p>
          <w:p>
            <w:pPr>
              <w:pStyle w:val="Normal"/>
              <w:widowControl w:val="false"/>
              <w:suppressAutoHyphens w:val="false"/>
              <w:spacing w:lineRule="auto" w:line="240" w:before="0" w:after="0"/>
              <w:ind w:left="69" w:right="74" w:hanging="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асфальтобетонное покрытие проездов</w:t>
            </w:r>
          </w:p>
          <w:p>
            <w:pPr>
              <w:pStyle w:val="Normal"/>
              <w:widowControl w:val="false"/>
              <w:suppressAutoHyphens w:val="false"/>
              <w:spacing w:lineRule="auto" w:line="240" w:before="0" w:after="0"/>
              <w:ind w:left="69" w:right="74" w:hanging="0"/>
              <w:jc w:val="both"/>
              <w:textAlignment w:val="baseline"/>
              <w:rPr>
                <w:rFonts w:ascii="Times New Roman" w:hAnsi="Times New Roman" w:eastAsia="Times New Roman" w:cs="Times New Roman"/>
                <w:color w:val="FF0000"/>
                <w:sz w:val="24"/>
                <w:szCs w:val="24"/>
              </w:rPr>
            </w:pPr>
            <w:r>
              <w:rPr>
                <w:rFonts w:eastAsia="Times New Roman" w:cs="Times New Roman" w:ascii="Times New Roman" w:hAnsi="Times New Roman"/>
                <w:sz w:val="24"/>
                <w:szCs w:val="24"/>
              </w:rPr>
              <w:t>- покрытие тротуарное;</w:t>
            </w:r>
          </w:p>
          <w:p>
            <w:pPr>
              <w:pStyle w:val="Normal"/>
              <w:widowControl w:val="false"/>
              <w:suppressAutoHyphens w:val="false"/>
              <w:spacing w:lineRule="auto" w:line="240" w:before="0" w:after="0"/>
              <w:ind w:left="69" w:right="74" w:hanging="0"/>
              <w:jc w:val="both"/>
              <w:textAlignment w:val="baselin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парковые светильники  (система паркового освещения);</w:t>
            </w:r>
          </w:p>
          <w:p>
            <w:pPr>
              <w:pStyle w:val="Normal"/>
              <w:widowControl w:val="false"/>
              <w:suppressAutoHyphens w:val="false"/>
              <w:spacing w:lineRule="auto" w:line="240" w:before="0" w:after="0"/>
              <w:ind w:left="69" w:right="74" w:hanging="0"/>
              <w:jc w:val="both"/>
              <w:textAlignment w:val="baselin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 скамейки;</w:t>
            </w:r>
          </w:p>
          <w:p>
            <w:pPr>
              <w:pStyle w:val="Normal"/>
              <w:widowControl w:val="false"/>
              <w:suppressAutoHyphens w:val="false"/>
              <w:spacing w:lineRule="auto" w:line="240" w:before="0" w:after="0"/>
              <w:ind w:left="69" w:right="74" w:hanging="0"/>
              <w:jc w:val="both"/>
              <w:textAlignment w:val="baselin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мусорные урны;</w:t>
            </w:r>
          </w:p>
          <w:p>
            <w:pPr>
              <w:pStyle w:val="Normal"/>
              <w:widowControl w:val="false"/>
              <w:suppressAutoHyphens w:val="false"/>
              <w:spacing w:lineRule="auto" w:line="240" w:before="0" w:after="0"/>
              <w:ind w:left="69" w:right="74" w:hanging="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 МАФ</w:t>
            </w:r>
          </w:p>
          <w:p>
            <w:pPr>
              <w:pStyle w:val="Normal"/>
              <w:widowControl w:val="false"/>
              <w:suppressAutoHyphens w:val="false"/>
              <w:spacing w:lineRule="auto" w:line="240" w:before="0" w:after="0"/>
              <w:ind w:left="69" w:right="74" w:hanging="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 игровое оборудование</w:t>
            </w:r>
          </w:p>
          <w:p>
            <w:pPr>
              <w:pStyle w:val="Normal"/>
              <w:widowControl w:val="false"/>
              <w:suppressAutoHyphens w:val="false"/>
              <w:spacing w:lineRule="auto" w:line="240" w:before="0" w:after="0"/>
              <w:ind w:left="69" w:right="74" w:hanging="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2"/>
              </w:numPr>
              <w:suppressAutoHyphens w:val="false"/>
              <w:snapToGrid w:val="false"/>
              <w:spacing w:lineRule="auto" w:line="240" w:before="0" w:after="0"/>
              <w:ind w:left="0" w:hanging="360"/>
              <w:contextualSpacing/>
              <w:rPr>
                <w:rFonts w:ascii="Times New Roman" w:hAnsi="Times New Roman" w:eastAsia="Times New Roman" w:cs="Times New Roman"/>
                <w:b/>
                <w:b/>
                <w:sz w:val="24"/>
                <w:szCs w:val="24"/>
              </w:rPr>
            </w:pPr>
            <w:r>
              <w:rPr>
                <w:rFonts w:eastAsia="Times New Roman" w:cs="Times New Roman" w:ascii="Times New Roman" w:hAnsi="Times New Roman"/>
                <w:b/>
              </w:rPr>
              <w:t>3.</w:t>
            </w:r>
          </w:p>
        </w:tc>
        <w:tc>
          <w:tcPr>
            <w:tcW w:w="25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Технические требования при выполнении работ</w:t>
            </w:r>
          </w:p>
          <w:p>
            <w:pPr>
              <w:pStyle w:val="Normal"/>
              <w:widowControl w:val="false"/>
              <w:suppressAutoHyphens w:val="false"/>
              <w:snapToGrid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80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ind w:left="69" w:right="74" w:hanging="0"/>
              <w:jc w:val="both"/>
              <w:rPr>
                <w:rFonts w:ascii="Times New Roman" w:hAnsi="Times New Roman" w:eastAsia="Calibri" w:cs="Times New Roman"/>
                <w:sz w:val="24"/>
                <w:szCs w:val="24"/>
              </w:rPr>
            </w:pPr>
            <w:r>
              <w:rPr>
                <w:rFonts w:eastAsia="Times New Roman" w:cs="Times New Roman" w:ascii="Times New Roman" w:hAnsi="Times New Roman"/>
                <w:sz w:val="24"/>
                <w:szCs w:val="24"/>
              </w:rPr>
              <w:t xml:space="preserve">1. Работы проводить согласно проектно-сметной документации, переданной подрядной организации по Акту приема-передачи </w:t>
            </w:r>
            <w:r>
              <w:rPr>
                <w:rFonts w:eastAsia="Calibri" w:cs="Times New Roman" w:ascii="Times New Roman" w:hAnsi="Times New Roman"/>
                <w:sz w:val="24"/>
                <w:szCs w:val="24"/>
              </w:rPr>
              <w:t>№ 20-037- ГП, № 20-037 - НО</w:t>
            </w:r>
          </w:p>
          <w:p>
            <w:pPr>
              <w:pStyle w:val="Normal"/>
              <w:widowControl w:val="false"/>
              <w:suppressAutoHyphens w:val="false"/>
              <w:spacing w:lineRule="auto" w:line="240" w:before="0" w:after="0"/>
              <w:ind w:left="69" w:right="74" w:hanging="0"/>
              <w:jc w:val="both"/>
              <w:rPr>
                <w:rFonts w:ascii="Times New Roman" w:hAnsi="Times New Roman" w:eastAsia="Calibri" w:cs="Times New Roman"/>
                <w:sz w:val="24"/>
                <w:szCs w:val="24"/>
              </w:rPr>
            </w:pPr>
            <w:r>
              <w:rPr>
                <w:rFonts w:eastAsia="Calibri" w:cs="Times New Roman" w:ascii="Times New Roman" w:hAnsi="Times New Roman"/>
                <w:sz w:val="24"/>
                <w:szCs w:val="24"/>
              </w:rPr>
              <w:t>Сметная документация №20-037 - СМ</w:t>
            </w:r>
          </w:p>
          <w:p>
            <w:pPr>
              <w:pStyle w:val="Normal"/>
              <w:widowControl w:val="false"/>
              <w:suppressAutoHyphens w:val="false"/>
              <w:spacing w:lineRule="auto" w:line="240" w:before="0" w:after="0"/>
              <w:ind w:left="69" w:right="74"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rPr>
              <w:t xml:space="preserve">2. После получения проектной документации (до начала выполнения работ) в течение 5 дней Подрядчик выполняет </w:t>
            </w:r>
            <w:r>
              <w:rPr>
                <w:rFonts w:eastAsia="Times New Roman" w:cs="Times New Roman" w:ascii="Times New Roman" w:hAnsi="Times New Roman"/>
                <w:sz w:val="24"/>
                <w:szCs w:val="24"/>
                <w:lang w:eastAsia="ru-RU"/>
              </w:rPr>
              <w:t xml:space="preserve">подготовку исполнительной геодезической документации по элементам, конструкциям, инженерным сетям и сооружениям  (схемы, чертежи, узлы элементов) </w:t>
            </w:r>
            <w:r>
              <w:rPr>
                <w:rFonts w:eastAsia="Times New Roman" w:cs="Times New Roman" w:ascii="Times New Roman" w:hAnsi="Times New Roman"/>
                <w:sz w:val="24"/>
                <w:szCs w:val="24"/>
              </w:rPr>
              <w:t>и согласовывает с Заказчиком.</w:t>
            </w:r>
          </w:p>
          <w:p>
            <w:pPr>
              <w:pStyle w:val="Normal"/>
              <w:widowControl w:val="false"/>
              <w:suppressAutoHyphens w:val="false"/>
              <w:spacing w:lineRule="auto" w:line="240" w:before="0" w:after="0"/>
              <w:ind w:left="69" w:right="74"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Проводит анализ на соответствие исполнительной геодезической документации утвержденной проектной документации и согласовывает результат с Заказчиком.</w:t>
            </w:r>
          </w:p>
          <w:p>
            <w:pPr>
              <w:pStyle w:val="Normal"/>
              <w:keepNext w:val="true"/>
              <w:keepLines/>
              <w:widowControl w:val="false"/>
              <w:suppressLineNumbers/>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Подрядчик выполняет геодезические работы по согласованной геодезической документации с выносом разбивочных осей на территории объекта. Согласовывает их размещение с Заказчиком  и несет ответственность за правильность разбивки осей объекта, высот и размеров всех его частей до завершения работ и передачи объекта Заказчику.</w:t>
            </w:r>
          </w:p>
          <w:p>
            <w:pPr>
              <w:pStyle w:val="Normal"/>
              <w:widowControl w:val="false"/>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До начала строительства следует выполнить необходимую подготовку, состав которой определен проектной документацией, техническим заданием и действующими строительными нормами, и правилами.</w:t>
            </w:r>
          </w:p>
          <w:p>
            <w:pPr>
              <w:pStyle w:val="Normal"/>
              <w:widowControl w:val="false"/>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Работы производить в соответствии с проектной документацией, с действующими строительными нормами и правилами СНиП 12-03-2001 «Безопасность труда в строительстве», СНиП 12.01.2004 «Организация строительного производства», «Правила противопожарного режима в Российской Федерации», утвержденных постановлением Правительства Российской Федерации от 25 апреля 2012 г.        N 390 и иных документов регламентирующих качество работ.</w:t>
            </w:r>
          </w:p>
          <w:p>
            <w:pPr>
              <w:pStyle w:val="Normal"/>
              <w:widowControl w:val="false"/>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Места складирования материалов Заказчик не предоставляет.</w:t>
            </w:r>
          </w:p>
          <w:p>
            <w:pPr>
              <w:pStyle w:val="Normal"/>
              <w:widowControl w:val="false"/>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4. На момент проведения работ подрядчик обязан обеспечить постоянное ежедневное присутствие на объекте лиц: ответственного за производство работ, внутренний строительный контроль за выполнением работ, ответственного за персонал Подрядчика и технику безопасности при проведении работ.</w:t>
            </w:r>
          </w:p>
          <w:p>
            <w:pPr>
              <w:pStyle w:val="Normal"/>
              <w:widowControl w:val="false"/>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   При выполнении работ необходимо применять современные  материалы и другие установочные изделия  российского (преимущественно) и зарубежного производства. Все применяемые материалы должны быть новыми, соответствовать ГОСТ и другим нормативным документам. Оборудование, поставляемое подрядчиком, должно удовлетворять требованиям, предъявляемым к ним в Российской Федерации по пожарной безопасности, износостойкости и выделению токсичных веществ, а также требованиям по надежности и долговечности, простоте в эксплуатации, с обязательной сертификацией в Российской Федерации.</w:t>
            </w:r>
          </w:p>
          <w:p>
            <w:pPr>
              <w:pStyle w:val="Normal"/>
              <w:widowControl w:val="false"/>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Образцы, планируемых к применению материалов, должны быть предоставлены на согласование Заказчику и только при получении согласования поставлены на объект.</w:t>
            </w:r>
          </w:p>
          <w:p>
            <w:pPr>
              <w:pStyle w:val="Normal"/>
              <w:widowControl w:val="false"/>
              <w:suppressAutoHyphens w:val="false"/>
              <w:spacing w:lineRule="auto" w:line="240" w:before="0" w:after="0"/>
              <w:ind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Все поставляемые для проведения работ материалы должны иметь соответствующие сертификаты качества, пожарные и санитарно-эпидемиологические сертификаты, технические паспорта и другие документы, удостоверяющие их качество. Копии сертификатов, паспортов и т. п. должны быть  предоставлены Заказчику не позднее 3-х дней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техническим условиям и иным предъявляемым требованиям.  Подрядчик несет ответственность за ненадлежащее качество предоставленных им материалов и подтверждающих качество документов.</w:t>
            </w:r>
          </w:p>
          <w:p>
            <w:pPr>
              <w:pStyle w:val="Normal"/>
              <w:widowControl w:val="false"/>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Все необходимые для производства работ материалы включены в стоимость выполнения работ и предоставляются Подрядчиком.</w:t>
            </w:r>
          </w:p>
          <w:p>
            <w:pPr>
              <w:pStyle w:val="Normal"/>
              <w:keepNext w:val="true"/>
              <w:keepLines/>
              <w:widowControl w:val="false"/>
              <w:suppressLineNumbers/>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Запрещается применение бывших в использовании и употреблении материалов и оборудования, в том числе восстановленных и отремонтированных.</w:t>
            </w:r>
          </w:p>
          <w:p>
            <w:pPr>
              <w:pStyle w:val="Normal"/>
              <w:keepNext w:val="true"/>
              <w:keepLines/>
              <w:widowControl w:val="false"/>
              <w:suppressLineNumbers/>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6. Ежедневная уборка рабочих мест, вывоз мусора на свалку  для утилизации отходов в соответствии с договором, заключенным Подрядчиком со специализированным предприятием.</w:t>
            </w:r>
          </w:p>
          <w:p>
            <w:pPr>
              <w:pStyle w:val="Normal"/>
              <w:keepNext w:val="true"/>
              <w:keepLines/>
              <w:widowControl w:val="false"/>
              <w:suppressLineNumbers/>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7. Ограждение и освещение мест производства работ должно быть обеспечено Подрядчиком на всех этапах производства работ.</w:t>
            </w:r>
          </w:p>
          <w:p>
            <w:pPr>
              <w:pStyle w:val="Normal"/>
              <w:keepNext w:val="true"/>
              <w:keepLines/>
              <w:widowControl w:val="false"/>
              <w:suppressLineNumbers/>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8. Специалисты Подрядчика должны быть высококвалифицированные и аттестованными на проведение  работ, обеспечены необходимым инструментом, механизмами и средствами индивидуальной защиты.</w:t>
            </w:r>
          </w:p>
          <w:p>
            <w:pPr>
              <w:pStyle w:val="Normal"/>
              <w:keepNext w:val="true"/>
              <w:keepLines/>
              <w:widowControl w:val="false"/>
              <w:suppressLineNumbers/>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9. Подрядчик самостоятельно за свой счет обеспечивает объект энергоносителями,  необходимыми для производства работ в соответствии с условиями Контракта.</w:t>
            </w:r>
          </w:p>
          <w:p>
            <w:pPr>
              <w:pStyle w:val="Normal"/>
              <w:keepNext w:val="true"/>
              <w:keepLines/>
              <w:widowControl w:val="false"/>
              <w:suppressLineNumbers/>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10.   Если в ходе исполнения настоящего Контракта потребуется получение специального разрешения (лицензии) на выполнение отдельных видов работ, то Подрядчик обязан получить разрешение (лицензию) до начала их выполнения</w:t>
            </w:r>
          </w:p>
          <w:p>
            <w:pPr>
              <w:pStyle w:val="Normal"/>
              <w:keepNext w:val="true"/>
              <w:keepLines/>
              <w:widowControl w:val="false"/>
              <w:suppressLineNumbers/>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11. Обеспечить в ходе ремонта выполнение мероприятий по технике безопасности, охране труда, обеспечению безопасности дорожного движения, экологической безопасности, пожарной безопасности, рациональному использованию территории, охране окружающей среды, зеленых насаждений и земли, а также гигиенических требований в соответствии с Проектом, Перечнем нормативно-технических документов в соответствии с действующего законодательства.</w:t>
            </w:r>
          </w:p>
          <w:p>
            <w:pPr>
              <w:pStyle w:val="Normal"/>
              <w:keepNext w:val="true"/>
              <w:keepLines/>
              <w:widowControl w:val="false"/>
              <w:suppressLineNumbers/>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12. В течение 5 (пяти) календарных дней до даты начала производства работ на Объекте изготовить и установить за свой счет в начале и конце участка производства работ информационные щиты на желтом фоне размером не менее 2х2,5 м, на которых указывается следующее: вид работ, схема  территории, наименование Заказчика, наименование Подрядчика, сроки выполнения работ, ответственное лицо и служебный телефон Подрядчика.</w:t>
            </w:r>
          </w:p>
          <w:p>
            <w:pPr>
              <w:pStyle w:val="Normal"/>
              <w:keepNext w:val="true"/>
              <w:keepLines/>
              <w:widowControl w:val="false"/>
              <w:suppressLineNumbers/>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13. В случае складирования резерва грунта и плодородного слоя почвы, строительного мусора и древесины за границами постоянного или временного отвода, установленного Проектом, Подрядчик обязан осуществить аренду земель и рекультивацию за свой счёт.</w:t>
            </w:r>
          </w:p>
          <w:p>
            <w:pPr>
              <w:pStyle w:val="Normal"/>
              <w:keepNext w:val="true"/>
              <w:keepLines/>
              <w:widowControl w:val="false"/>
              <w:suppressLineNumbers/>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14. Обеспечить сохранность вырубаемой на Объекте древесины и направление информации об объёмах и породном составе вырубаемой древесины не позднее 20 (двадцати) дней до завершения вырубки Заказчику в соответствии с постановлением Правительства РФ от 23.07.2009г. № 604 (при необходимости и согласовании с Заказчиком).</w:t>
            </w:r>
          </w:p>
          <w:p>
            <w:pPr>
              <w:pStyle w:val="Normal"/>
              <w:keepNext w:val="true"/>
              <w:keepLines/>
              <w:widowControl w:val="false"/>
              <w:suppressLineNumbers/>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15. Подрядчик обязан безвозмездно исправить по требованию Заказчика все выявленные недостатки ухудшившее качество работы в согласованные сроки.</w:t>
            </w:r>
          </w:p>
          <w:p>
            <w:pPr>
              <w:pStyle w:val="Normal"/>
              <w:keepNext w:val="true"/>
              <w:keepLines/>
              <w:widowControl w:val="false"/>
              <w:suppressLineNumbers/>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Контроль, проводимый Заказчиком за выполнением этих работ, не освобождает Подрядчика от ответственности за правильность их исполнения.</w:t>
            </w:r>
          </w:p>
          <w:p>
            <w:pPr>
              <w:pStyle w:val="Normal"/>
              <w:keepNext w:val="true"/>
              <w:keepLines/>
              <w:widowControl w:val="false"/>
              <w:suppressLineNumbers/>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16. Компенсировать ущерб, убытки, включая судебные издержки, связанные с выплатой ущерба, нанесенного по вине Подрядчика третьим лицам, возникшего вследствие выполнения Подрядчиком работ по настоящему Контракту или вследствие нарушения имущественных или иных прав третьих лиц.</w:t>
            </w:r>
          </w:p>
          <w:p>
            <w:pPr>
              <w:pStyle w:val="Normal"/>
              <w:keepNext w:val="true"/>
              <w:keepLines/>
              <w:widowControl w:val="false"/>
              <w:suppressLineNumbers/>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17. Обеспечить нахождение на Объекте проекта производства работ, общего журнала работ, специальных журналов работ, проектной документации, копии приказов и распоряжений на персонал, копии контракта с заказчиком, разрешительные документы на проведение земляных работ и т.д.</w:t>
            </w:r>
          </w:p>
          <w:p>
            <w:pPr>
              <w:pStyle w:val="Normal"/>
              <w:keepNext w:val="true"/>
              <w:keepLines/>
              <w:widowControl w:val="false"/>
              <w:suppressLineNumbers/>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18. По окончании капитального ремонта Объекта совместно с Актом </w:t>
            </w:r>
            <w:r>
              <w:rPr>
                <w:rFonts w:eastAsia="MS Mincho" w:cs="Times New Roman" w:ascii="Times New Roman" w:hAnsi="Times New Roman"/>
                <w:sz w:val="24"/>
                <w:szCs w:val="24"/>
              </w:rPr>
              <w:t>приемки законченного строительством объекта по форме КС-11</w:t>
            </w:r>
            <w:r>
              <w:rPr>
                <w:rFonts w:eastAsia="Times New Roman" w:cs="Times New Roman" w:ascii="Times New Roman" w:hAnsi="Times New Roman"/>
                <w:sz w:val="24"/>
                <w:szCs w:val="24"/>
              </w:rPr>
              <w:t xml:space="preserve"> передать Заказчику исполнительную документацию о выполненных ремонтных и монтажных работах (на бумажном носителе и электронном носителе) в Полном объеме.</w:t>
            </w:r>
          </w:p>
          <w:p>
            <w:pPr>
              <w:pStyle w:val="Normal"/>
              <w:keepNext w:val="true"/>
              <w:keepLines/>
              <w:widowControl w:val="false"/>
              <w:suppressLineNumbers/>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Срок предоставления документов, необходимых для сдачи Объекта может быть изменен по согласованию с Заказчиком.</w:t>
            </w:r>
          </w:p>
          <w:p>
            <w:pPr>
              <w:pStyle w:val="Normal"/>
              <w:keepNext w:val="true"/>
              <w:keepLines/>
              <w:widowControl w:val="false"/>
              <w:suppressLineNumbers/>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3"/>
              </w:numPr>
              <w:suppressAutoHyphens w:val="false"/>
              <w:snapToGrid w:val="false"/>
              <w:spacing w:lineRule="auto" w:line="240" w:before="0" w:after="0"/>
              <w:ind w:left="0" w:hanging="36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25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napToGrid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Порядок сдачи-приемки результатов работ</w:t>
            </w:r>
          </w:p>
        </w:tc>
        <w:tc>
          <w:tcPr>
            <w:tcW w:w="680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муниципальном контракте и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приема-передачи строительной площадки (объекта).</w:t>
            </w:r>
          </w:p>
          <w:p>
            <w:pPr>
              <w:pStyle w:val="Normal"/>
              <w:widowControl w:val="false"/>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Приемка работ осуществляется Заказчиком с участием полномочных представителей Подрядчика, при необходимости с привлечением иных заинтересованных лиц.</w:t>
            </w:r>
          </w:p>
          <w:p>
            <w:pPr>
              <w:pStyle w:val="Normal"/>
              <w:widowControl w:val="false"/>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В целях приемки работ Подрядчик  не менее чем за семь рабочих дней до даты приемки, направляет Заказчику письменное извещение об окончании работ и готовности к сдаче результатов работ. При этом совместно с извещением направляет (предоставляет) Заказчику (заверенную подписью и печатью Подрядчика) Исполнительную техническую документацию согласно </w:t>
            </w:r>
            <w:hyperlink r:id="rId3" w:tgtFrame="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
              <w:r>
                <w:rPr>
                  <w:rFonts w:eastAsia="Times New Roman" w:cs="Times New Roman" w:ascii="Times New Roman" w:hAnsi="Times New Roman"/>
                  <w:sz w:val="24"/>
                  <w:szCs w:val="24"/>
                  <w:u w:val="single"/>
                </w:rPr>
                <w:t>РД-11-02-2006</w:t>
              </w:r>
            </w:hyperlink>
            <w:r>
              <w:rPr>
                <w:rFonts w:eastAsia="Times New Roman" w:cs="Times New Roman" w:ascii="Times New Roman" w:hAnsi="Times New Roman"/>
                <w:sz w:val="24"/>
                <w:szCs w:val="24"/>
              </w:rPr>
              <w:t>:</w:t>
            </w:r>
          </w:p>
          <w:p>
            <w:pPr>
              <w:pStyle w:val="Normal"/>
              <w:widowControl w:val="false"/>
              <w:suppressAutoHyphens w:val="false"/>
              <w:spacing w:lineRule="auto" w:line="240" w:before="0" w:after="0"/>
              <w:ind w:left="69" w:right="74" w:hanging="0"/>
              <w:jc w:val="both"/>
              <w:rPr>
                <w:rFonts w:ascii="Times New Roman" w:hAnsi="Times New Roman" w:eastAsia="TimesNewRoman" w:cs="Times New Roman"/>
                <w:sz w:val="24"/>
                <w:szCs w:val="24"/>
              </w:rPr>
            </w:pPr>
            <w:r>
              <w:rPr>
                <w:rFonts w:eastAsia="MS Mincho" w:cs="Times New Roman" w:ascii="Times New Roman" w:hAnsi="Times New Roman"/>
                <w:sz w:val="24"/>
                <w:szCs w:val="24"/>
              </w:rPr>
              <w:t>- акты  приемки выполненных Работ по унифицированной форме № КС-2, оформленные согласно постановлению Госкомстата России от 11.11.99 г.№100, в 5 (пяти) экземплярах;</w:t>
            </w:r>
          </w:p>
          <w:p>
            <w:pPr>
              <w:pStyle w:val="Normal"/>
              <w:widowControl w:val="false"/>
              <w:suppressAutoHyphens w:val="false"/>
              <w:spacing w:lineRule="auto" w:line="240" w:before="0" w:after="0"/>
              <w:ind w:left="69" w:right="74" w:hanging="0"/>
              <w:jc w:val="both"/>
              <w:rPr>
                <w:rFonts w:ascii="Times New Roman" w:hAnsi="Times New Roman" w:eastAsia="MS Mincho" w:cs="Times New Roman"/>
                <w:sz w:val="24"/>
                <w:szCs w:val="24"/>
              </w:rPr>
            </w:pPr>
            <w:r>
              <w:rPr>
                <w:rFonts w:eastAsia="MS Mincho" w:cs="Times New Roman" w:ascii="Times New Roman" w:hAnsi="Times New Roman"/>
                <w:sz w:val="24"/>
                <w:szCs w:val="24"/>
              </w:rPr>
              <w:t>- справку о стоимости выполненных Работ по унифицированной  форме № КС-3, оформленные согласно постановлению Госкомстата России от 11.11.99 г.№100, в 5 (пяти) экземплярах;</w:t>
            </w:r>
          </w:p>
          <w:p>
            <w:pPr>
              <w:pStyle w:val="Normal"/>
              <w:widowControl w:val="false"/>
              <w:shd w:val="clear" w:color="auto" w:fill="FFFFFF"/>
              <w:suppressAutoHyphens w:val="false"/>
              <w:spacing w:lineRule="auto" w:line="240" w:before="0" w:after="0"/>
              <w:ind w:left="69" w:right="74" w:hanging="0"/>
              <w:rPr>
                <w:rFonts w:ascii="Times New Roman" w:hAnsi="Times New Roman" w:eastAsia="MS Mincho" w:cs="Times New Roman"/>
                <w:sz w:val="24"/>
                <w:szCs w:val="24"/>
              </w:rPr>
            </w:pPr>
            <w:r>
              <w:rPr>
                <w:rFonts w:eastAsia="MS Mincho" w:cs="Times New Roman" w:ascii="Times New Roman" w:hAnsi="Times New Roman"/>
                <w:sz w:val="24"/>
                <w:szCs w:val="24"/>
              </w:rPr>
              <w:t xml:space="preserve">    </w:t>
            </w:r>
            <w:r>
              <w:rPr>
                <w:rFonts w:eastAsia="MS Mincho" w:cs="Times New Roman" w:ascii="Times New Roman" w:hAnsi="Times New Roman"/>
                <w:sz w:val="24"/>
                <w:szCs w:val="24"/>
              </w:rPr>
              <w:t>- акт приемки законченного строительством объекта по форме КС-11, утвержденная в 2-х экземплярах Постановлением Госкомстата России  от  30.10.97 №71а</w:t>
            </w:r>
          </w:p>
          <w:p>
            <w:pPr>
              <w:pStyle w:val="Normal"/>
              <w:widowControl w:val="false"/>
              <w:suppressAutoHyphens w:val="false"/>
              <w:spacing w:lineRule="auto" w:line="240" w:before="0" w:after="0"/>
              <w:ind w:left="69" w:right="74" w:hanging="0"/>
              <w:jc w:val="both"/>
              <w:rPr>
                <w:rFonts w:ascii="Times New Roman" w:hAnsi="Times New Roman" w:eastAsia="MS Mincho" w:cs="Times New Roman"/>
                <w:sz w:val="24"/>
                <w:szCs w:val="24"/>
              </w:rPr>
            </w:pPr>
            <w:r>
              <w:rPr>
                <w:rFonts w:eastAsia="MS Mincho" w:cs="Times New Roman" w:ascii="Times New Roman" w:hAnsi="Times New Roman"/>
                <w:sz w:val="24"/>
                <w:szCs w:val="24"/>
              </w:rPr>
              <w:t>- исполнительные схемы;</w:t>
            </w:r>
          </w:p>
          <w:p>
            <w:pPr>
              <w:pStyle w:val="Normal"/>
              <w:widowControl w:val="false"/>
              <w:suppressAutoHyphens w:val="false"/>
              <w:spacing w:lineRule="auto" w:line="240" w:before="0" w:after="0"/>
              <w:ind w:left="69" w:right="74" w:hanging="0"/>
              <w:jc w:val="both"/>
              <w:rPr>
                <w:rFonts w:ascii="Times New Roman" w:hAnsi="Times New Roman" w:eastAsia="MS Mincho" w:cs="Times New Roman"/>
                <w:sz w:val="24"/>
                <w:szCs w:val="24"/>
              </w:rPr>
            </w:pPr>
            <w:r>
              <w:rPr>
                <w:rFonts w:eastAsia="MS Mincho" w:cs="Times New Roman" w:ascii="Times New Roman" w:hAnsi="Times New Roman"/>
                <w:sz w:val="24"/>
                <w:szCs w:val="24"/>
              </w:rPr>
              <w:t>- акты освидетельствования скрытых Работ;</w:t>
            </w:r>
          </w:p>
          <w:p>
            <w:pPr>
              <w:pStyle w:val="Normal"/>
              <w:widowControl w:val="false"/>
              <w:suppressAutoHyphens w:val="false"/>
              <w:spacing w:lineRule="auto" w:line="240" w:before="0" w:after="0"/>
              <w:ind w:left="69" w:right="74" w:hanging="0"/>
              <w:jc w:val="both"/>
              <w:rPr>
                <w:rFonts w:ascii="Times New Roman" w:hAnsi="Times New Roman" w:eastAsia="MS Mincho" w:cs="Times New Roman"/>
                <w:sz w:val="24"/>
                <w:szCs w:val="24"/>
              </w:rPr>
            </w:pPr>
            <w:r>
              <w:rPr>
                <w:rFonts w:eastAsia="MS Mincho" w:cs="Times New Roman" w:ascii="Times New Roman" w:hAnsi="Times New Roman"/>
                <w:sz w:val="24"/>
                <w:szCs w:val="24"/>
              </w:rPr>
              <w:t xml:space="preserve">- заверенные </w:t>
            </w:r>
            <w:r>
              <w:rPr>
                <w:rFonts w:eastAsia="Times New Roman" w:cs="Times New Roman" w:ascii="Times New Roman" w:hAnsi="Times New Roman"/>
                <w:sz w:val="24"/>
                <w:szCs w:val="24"/>
              </w:rPr>
              <w:t>печатью и подписью представителя подрядной организации</w:t>
            </w:r>
            <w:r>
              <w:rPr>
                <w:rFonts w:eastAsia="MS Mincho" w:cs="Times New Roman" w:ascii="Times New Roman" w:hAnsi="Times New Roman"/>
                <w:sz w:val="24"/>
                <w:szCs w:val="24"/>
              </w:rPr>
              <w:t xml:space="preserve"> копии сертификатов, технических паспортов, подтверждающих качество примененных материалов, изделий, конструкций;</w:t>
            </w:r>
          </w:p>
          <w:p>
            <w:pPr>
              <w:pStyle w:val="Normal"/>
              <w:widowControl w:val="false"/>
              <w:suppressAutoHyphens w:val="false"/>
              <w:spacing w:lineRule="auto" w:line="240" w:before="0" w:after="0"/>
              <w:ind w:left="69" w:right="74" w:hanging="0"/>
              <w:jc w:val="both"/>
              <w:rPr>
                <w:rFonts w:ascii="Times New Roman" w:hAnsi="Times New Roman" w:eastAsia="MS Mincho" w:cs="Times New Roman"/>
                <w:sz w:val="24"/>
                <w:szCs w:val="24"/>
              </w:rPr>
            </w:pPr>
            <w:r>
              <w:rPr>
                <w:rFonts w:eastAsia="MS Mincho" w:cs="Times New Roman" w:ascii="Times New Roman" w:hAnsi="Times New Roman"/>
                <w:sz w:val="24"/>
                <w:szCs w:val="24"/>
              </w:rPr>
              <w:t>- общий журнал работ;</w:t>
            </w:r>
          </w:p>
          <w:p>
            <w:pPr>
              <w:pStyle w:val="Normal"/>
              <w:widowControl w:val="false"/>
              <w:suppressAutoHyphens w:val="false"/>
              <w:spacing w:lineRule="auto" w:line="240" w:before="0" w:after="0"/>
              <w:ind w:left="69" w:right="74" w:hanging="0"/>
              <w:jc w:val="both"/>
              <w:rPr>
                <w:rFonts w:ascii="Times New Roman" w:hAnsi="Times New Roman" w:eastAsia="MS Mincho" w:cs="Times New Roman"/>
                <w:sz w:val="24"/>
                <w:szCs w:val="24"/>
              </w:rPr>
            </w:pPr>
            <w:r>
              <w:rPr>
                <w:rFonts w:eastAsia="MS Mincho" w:cs="Times New Roman" w:ascii="Times New Roman" w:hAnsi="Times New Roman"/>
                <w:sz w:val="24"/>
                <w:szCs w:val="24"/>
              </w:rPr>
              <w:t>- специальные журналы работ;</w:t>
            </w:r>
          </w:p>
          <w:p>
            <w:pPr>
              <w:pStyle w:val="Normal"/>
              <w:widowControl w:val="false"/>
              <w:suppressAutoHyphens w:val="false"/>
              <w:spacing w:lineRule="auto" w:line="240" w:before="0" w:after="0"/>
              <w:ind w:left="69" w:right="74" w:hanging="0"/>
              <w:jc w:val="both"/>
              <w:rPr>
                <w:rFonts w:ascii="Times New Roman" w:hAnsi="Times New Roman" w:eastAsia="MS Mincho" w:cs="Times New Roman"/>
                <w:sz w:val="24"/>
                <w:szCs w:val="24"/>
              </w:rPr>
            </w:pPr>
            <w:r>
              <w:rPr>
                <w:rFonts w:eastAsia="MS Mincho" w:cs="Times New Roman" w:ascii="Times New Roman" w:hAnsi="Times New Roman"/>
                <w:sz w:val="24"/>
                <w:szCs w:val="24"/>
              </w:rPr>
              <w:t>- акт смонтированного оборудования, в 3 (трех) экземплярах (при необходимости);</w:t>
            </w:r>
          </w:p>
          <w:p>
            <w:pPr>
              <w:pStyle w:val="Normal"/>
              <w:widowControl w:val="false"/>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MS Mincho" w:cs="Times New Roman" w:ascii="Times New Roman" w:hAnsi="Times New Roman"/>
                <w:sz w:val="24"/>
                <w:szCs w:val="24"/>
              </w:rPr>
              <w:t>-</w:t>
            </w:r>
            <w:r>
              <w:rPr>
                <w:rFonts w:eastAsia="Times New Roman" w:cs="Times New Roman" w:ascii="Times New Roman" w:hAnsi="Times New Roman"/>
                <w:sz w:val="24"/>
                <w:szCs w:val="24"/>
              </w:rPr>
              <w:t>фотофиксация всех этапов работ;</w:t>
            </w:r>
          </w:p>
          <w:p>
            <w:pPr>
              <w:pStyle w:val="Normal"/>
              <w:widowControl w:val="false"/>
              <w:tabs>
                <w:tab w:val="clear" w:pos="708"/>
                <w:tab w:val="left" w:pos="459" w:leader="none"/>
              </w:tabs>
              <w:spacing w:lineRule="auto" w:line="240" w:before="0" w:after="0"/>
              <w:ind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В случае, когда работа выполнена Подрядчиком с отступлением от условий муниципального контракта и Технического задания ухудшившими результат работы, или иными недостатками, Заказчик вправе потребовать от Подрядчика безвозмездного устранения недостатков, в срок, установленный Заказчиком.</w:t>
            </w:r>
          </w:p>
          <w:p>
            <w:pPr>
              <w:pStyle w:val="Normal"/>
              <w:widowControl w:val="false"/>
              <w:tabs>
                <w:tab w:val="clear" w:pos="708"/>
                <w:tab w:val="left" w:pos="901" w:leader="none"/>
              </w:tabs>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муниципальном контракте и Техническом задании, в срок, установленный Заказчиком, обязан переделать эти работы для обеспечения надлежащего качества.</w:t>
            </w:r>
          </w:p>
          <w:p>
            <w:pPr>
              <w:pStyle w:val="Normal"/>
              <w:widowControl w:val="false"/>
              <w:tabs>
                <w:tab w:val="clear" w:pos="708"/>
                <w:tab w:val="left" w:pos="901" w:leader="none"/>
              </w:tabs>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4"/>
              </w:numPr>
              <w:suppressAutoHyphens w:val="false"/>
              <w:snapToGrid w:val="false"/>
              <w:spacing w:lineRule="auto" w:line="240" w:before="0" w:after="0"/>
              <w:ind w:left="0" w:hanging="36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25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napToGrid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Порядок оплаты дополнительных работ (внесения изменения), необходимость выполнения которых возникла в процессе производства работ</w:t>
            </w:r>
          </w:p>
        </w:tc>
        <w:tc>
          <w:tcPr>
            <w:tcW w:w="680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Проектно-сметной документацией предусмотрены средства на непредвиденные расходы в размере 2%. Необходимость выполнения дополнительных объемов и (или) видов работ подтверждается актом утвержденным руководителем организации Заказчика. Работы выполняются только после утверждения соответствующего акта.</w:t>
            </w:r>
          </w:p>
          <w:p>
            <w:pPr>
              <w:pStyle w:val="Normal"/>
              <w:widowControl w:val="false"/>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При возникновении дополнительных объемов и (или) видов работ препятствующих дальнейшему выполнению работ, Подрядчик направляет Заказчику письменное уведомление произвольной формы о возникновении таких работ.</w:t>
            </w:r>
          </w:p>
          <w:p>
            <w:pPr>
              <w:pStyle w:val="Normal"/>
              <w:widowControl w:val="false"/>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Заказчик создает комиссию (при необходимости) с обязательным участием представителя Подрядчика для определения необходимости выполнения таких работ.</w:t>
            </w:r>
          </w:p>
          <w:p>
            <w:pPr>
              <w:pStyle w:val="Normal"/>
              <w:widowControl w:val="false"/>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При возникновении необходимости изменения видов работ, замене материалов, изменении объемов работ Подрядчик готовит техническое решение на соответствующее изменение (с приложением ведомости объемов работ и применяемых материалов) и согласовывает его с Заказчиком. Выполнение таких изменений производится только после согласования технического решения Заказчиком.</w:t>
            </w:r>
          </w:p>
          <w:p>
            <w:pPr>
              <w:pStyle w:val="Normal"/>
              <w:widowControl w:val="false"/>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5"/>
              </w:numPr>
              <w:suppressAutoHyphens w:val="false"/>
              <w:snapToGrid w:val="false"/>
              <w:spacing w:lineRule="auto" w:line="240" w:before="0" w:after="0"/>
              <w:ind w:left="0" w:hanging="36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25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napToGrid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Требования к гарантии качества работ</w:t>
            </w:r>
          </w:p>
        </w:tc>
        <w:tc>
          <w:tcPr>
            <w:tcW w:w="6805"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Гарантийный срок на выполненные работы устанавливается – 3 года, с момента подписания А</w:t>
            </w:r>
            <w:r>
              <w:rPr>
                <w:rFonts w:eastAsia="MS Mincho" w:cs="Times New Roman" w:ascii="Times New Roman" w:hAnsi="Times New Roman"/>
                <w:sz w:val="24"/>
                <w:szCs w:val="24"/>
              </w:rPr>
              <w:t>кта приемки законченного строительством объекта по форме КС-11, утвержденной Постановлением Госкомстата России  от  30.10.97 №71а</w:t>
            </w:r>
            <w:r>
              <w:rPr>
                <w:rFonts w:eastAsia="Times New Roman" w:cs="Times New Roman" w:ascii="Times New Roman" w:hAnsi="Times New Roman"/>
                <w:sz w:val="24"/>
                <w:szCs w:val="24"/>
              </w:rPr>
              <w:t>, а на оборудование и материалы – в соответствии с гарантийной документацией их производителя.</w:t>
            </w:r>
          </w:p>
        </w:tc>
      </w:tr>
    </w:tbl>
    <w:p>
      <w:pPr>
        <w:pStyle w:val="Normal"/>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sectPr>
          <w:type w:val="nextPage"/>
          <w:pgSz w:w="11906" w:h="16838"/>
          <w:pgMar w:left="1134" w:right="737" w:header="0" w:top="709" w:footer="0" w:bottom="709" w:gutter="0"/>
          <w:pgNumType w:fmt="decimal"/>
          <w:formProt w:val="false"/>
          <w:textDirection w:val="lrTb"/>
          <w:docGrid w:type="default" w:linePitch="100" w:charSpace="12288"/>
        </w:sectPr>
        <w:pStyle w:val="Normal"/>
        <w:ind w:firstLine="709"/>
        <w:jc w:val="center"/>
        <w:rPr>
          <w:rFonts w:ascii="Times New Roman" w:hAnsi="Times New Roman"/>
        </w:rPr>
      </w:pPr>
      <w:r>
        <w:rPr>
          <w:rFonts w:ascii="Times New Roman" w:hAnsi="Times New Roman"/>
        </w:rPr>
        <w:t xml:space="preserve"> </w:t>
      </w:r>
    </w:p>
    <w:p>
      <w:pPr>
        <w:pStyle w:val="Normal"/>
        <w:widowControl w:val="false"/>
        <w:tabs>
          <w:tab w:val="clear" w:pos="708"/>
          <w:tab w:val="left" w:pos="1560" w:leader="none"/>
        </w:tabs>
        <w:spacing w:lineRule="auto" w:line="240" w:before="0" w:after="0"/>
        <w:jc w:val="center"/>
        <w:rPr>
          <w:rFonts w:ascii="Times New Roman" w:hAnsi="Times New Roman"/>
        </w:rPr>
      </w:pPr>
      <w:r>
        <w:rPr>
          <w:rFonts w:ascii="Times New Roman" w:hAnsi="Times New Roman"/>
          <w:b/>
          <w:bCs/>
          <w:sz w:val="24"/>
          <w:szCs w:val="24"/>
          <w:lang w:val="en-US"/>
        </w:rPr>
        <w:t>III</w:t>
      </w:r>
      <w:r>
        <w:rPr>
          <w:rFonts w:ascii="Times New Roman" w:hAnsi="Times New Roman"/>
          <w:b/>
          <w:bCs/>
          <w:sz w:val="24"/>
          <w:szCs w:val="24"/>
        </w:rPr>
        <w:t>. ОБОСНОВАНИЕ НАЧАЛЬНОЙ (МАКСИМАЛЬНОЙ) ЦЕНЫ КОНТРАКТА</w:t>
      </w:r>
    </w:p>
    <w:p>
      <w:pPr>
        <w:pStyle w:val="Normal"/>
        <w:widowControl w:val="false"/>
        <w:numPr>
          <w:ilvl w:val="0"/>
          <w:numId w:val="0"/>
        </w:numPr>
        <w:spacing w:lineRule="exact" w:line="280"/>
        <w:ind w:left="0" w:hanging="0"/>
        <w:jc w:val="center"/>
        <w:outlineLvl w:val="0"/>
        <w:rPr>
          <w:rFonts w:ascii="Times New Roman" w:hAnsi="Times New Roman"/>
        </w:rPr>
      </w:pPr>
      <w:r>
        <w:rPr>
          <w:rFonts w:ascii="Times New Roman" w:hAnsi="Times New Roman"/>
          <w:b/>
          <w:bCs/>
          <w:lang w:bidi="ru-RU"/>
        </w:rPr>
        <w:t>ПРОТОКОЛ</w:t>
      </w:r>
    </w:p>
    <w:p>
      <w:pPr>
        <w:pStyle w:val="Normal"/>
        <w:widowControl w:val="false"/>
        <w:spacing w:lineRule="exact" w:line="260" w:before="0" w:after="308"/>
        <w:jc w:val="center"/>
        <w:rPr>
          <w:rFonts w:ascii="Times New Roman" w:hAnsi="Times New Roman"/>
        </w:rPr>
      </w:pPr>
      <w:r>
        <w:rPr>
          <w:rFonts w:ascii="Times New Roman" w:hAnsi="Times New Roman"/>
          <w:b/>
          <w:lang w:bidi="ru-RU"/>
        </w:rPr>
        <w:t xml:space="preserve"> </w:t>
      </w:r>
      <w:r>
        <w:rPr>
          <w:rFonts w:ascii="Times New Roman" w:hAnsi="Times New Roman"/>
          <w:b/>
          <w:lang w:bidi="ru-RU"/>
        </w:rPr>
        <w:t>начальной (максимальной) цены контракта</w:t>
      </w:r>
    </w:p>
    <w:p>
      <w:pPr>
        <w:pStyle w:val="Normal"/>
        <w:suppressAutoHyphens w:val="false"/>
        <w:spacing w:lineRule="auto" w:line="240" w:before="0" w:after="0"/>
        <w:jc w:val="both"/>
        <w:rPr>
          <w:rFonts w:ascii="Times New Roman" w:hAnsi="Times New Roman" w:eastAsia="Times New Roman" w:cs="Times New Roman"/>
          <w:b/>
          <w:b/>
          <w:sz w:val="24"/>
          <w:szCs w:val="24"/>
          <w:lang w:eastAsia="ru-RU" w:bidi="ru-RU"/>
        </w:rPr>
      </w:pPr>
      <w:r>
        <w:rPr>
          <w:rFonts w:eastAsia="Times New Roman" w:cs="Times New Roman" w:ascii="Times New Roman" w:hAnsi="Times New Roman"/>
          <w:b/>
          <w:sz w:val="24"/>
          <w:szCs w:val="24"/>
          <w:lang w:eastAsia="ru-RU" w:bidi="ru-RU"/>
        </w:rPr>
        <w:t>Объект закупки:</w:t>
      </w:r>
    </w:p>
    <w:p>
      <w:pPr>
        <w:pStyle w:val="Normal"/>
        <w:suppressAutoHyphens w:val="false"/>
        <w:spacing w:lineRule="auto" w:line="240" w:before="0" w:after="0"/>
        <w:rPr>
          <w:rFonts w:ascii="Times New Roman" w:hAnsi="Times New Roman" w:eastAsia="Times New Roman" w:cs="Times New Roman"/>
          <w:sz w:val="24"/>
          <w:szCs w:val="24"/>
          <w:u w:val="single"/>
          <w:lang w:eastAsia="ru-RU"/>
        </w:rPr>
      </w:pPr>
      <w:r>
        <w:rPr>
          <w:rFonts w:eastAsia="Times New Roman" w:cs="Times New Roman" w:ascii="Times New Roman" w:hAnsi="Times New Roman"/>
          <w:sz w:val="24"/>
          <w:szCs w:val="24"/>
          <w:u w:val="single"/>
          <w:lang w:eastAsia="ru-RU" w:bidi="ru-RU"/>
        </w:rPr>
        <w:t xml:space="preserve"> </w:t>
      </w:r>
      <w:r>
        <w:rPr>
          <w:rFonts w:eastAsia="Times New Roman" w:cs="Times New Roman" w:ascii="Times New Roman" w:hAnsi="Times New Roman"/>
          <w:color w:val="000000"/>
          <w:sz w:val="24"/>
          <w:szCs w:val="24"/>
          <w:u w:val="single"/>
          <w:lang w:eastAsia="ru-RU"/>
        </w:rPr>
        <w:t>«</w:t>
      </w:r>
      <w:r>
        <w:rPr>
          <w:rFonts w:eastAsia="Times New Roman" w:cs="Times New Roman" w:ascii="Times New Roman" w:hAnsi="Times New Roman"/>
          <w:sz w:val="24"/>
          <w:szCs w:val="24"/>
          <w:u w:val="single"/>
          <w:lang w:eastAsia="ru-RU"/>
        </w:rPr>
        <w:t>Капитальный ремонт дворовых и прилегающих территорий к домам 9,10,11,12,13 мкн. им. ген. Васильева города Армянска</w:t>
      </w:r>
      <w:r>
        <w:rPr>
          <w:rFonts w:eastAsia="Times New Roman" w:cs="Times New Roman" w:ascii="Times New Roman" w:hAnsi="Times New Roman"/>
          <w:color w:val="000000"/>
          <w:sz w:val="24"/>
          <w:szCs w:val="24"/>
          <w:u w:val="single"/>
          <w:lang w:eastAsia="ru-RU"/>
        </w:rPr>
        <w:t>»</w:t>
      </w:r>
    </w:p>
    <w:p>
      <w:pPr>
        <w:pStyle w:val="Normal"/>
        <w:suppressAutoHyphens w:val="false"/>
        <w:spacing w:lineRule="auto" w:line="240" w:before="0" w:after="0"/>
        <w:jc w:val="both"/>
        <w:rPr>
          <w:rFonts w:ascii="Courier New" w:hAnsi="Courier New" w:eastAsia="Times New Roman" w:cs="Courier New"/>
          <w:sz w:val="20"/>
          <w:szCs w:val="20"/>
          <w:lang w:eastAsia="ru-RU" w:bidi="ru-RU"/>
        </w:rPr>
      </w:pPr>
      <w:r>
        <w:rPr>
          <w:rFonts w:eastAsia="Times New Roman" w:cs="Courier New" w:ascii="Courier New" w:hAnsi="Courier New"/>
          <w:sz w:val="20"/>
          <w:szCs w:val="20"/>
          <w:lang w:eastAsia="ru-RU" w:bidi="ru-RU"/>
        </w:rPr>
      </w:r>
    </w:p>
    <w:p>
      <w:pPr>
        <w:pStyle w:val="Normal"/>
        <w:widowControl w:val="false"/>
        <w:suppressAutoHyphens w:val="false"/>
        <w:spacing w:lineRule="auto" w:line="240" w:before="0" w:after="0"/>
        <w:jc w:val="both"/>
        <w:rPr>
          <w:rFonts w:ascii="Times New Roman" w:hAnsi="Times New Roman" w:eastAsia="Times New Roman" w:cs="Times New Roman"/>
          <w:i/>
          <w:i/>
          <w:sz w:val="24"/>
          <w:szCs w:val="24"/>
          <w:lang w:eastAsia="ru-RU"/>
        </w:rPr>
      </w:pPr>
      <w:r>
        <w:rPr>
          <w:rFonts w:eastAsia="Times New Roman" w:cs="Times New Roman" w:ascii="Times New Roman" w:hAnsi="Times New Roman"/>
          <w:b/>
          <w:sz w:val="24"/>
          <w:szCs w:val="24"/>
          <w:lang w:eastAsia="ru-RU" w:bidi="ru-RU"/>
        </w:rPr>
        <w:t xml:space="preserve">Начальная (максимальная) цена контракта составляет: </w:t>
      </w:r>
      <w:r>
        <w:rPr>
          <w:rFonts w:eastAsia="Times New Roman" w:cs="Times New Roman" w:ascii="Times New Roman" w:hAnsi="Times New Roman"/>
          <w:b/>
          <w:sz w:val="24"/>
          <w:szCs w:val="24"/>
          <w:lang w:eastAsia="ru-RU"/>
        </w:rPr>
        <w:t>19 581 320,00</w:t>
      </w:r>
      <w:r>
        <w:rPr>
          <w:rFonts w:eastAsia="Times New Roman" w:cs="Times New Roman" w:ascii="Times New Roman" w:hAnsi="Times New Roman"/>
          <w:sz w:val="24"/>
          <w:szCs w:val="24"/>
          <w:lang w:eastAsia="ru-RU"/>
        </w:rPr>
        <w:t xml:space="preserve"> рублей </w:t>
      </w:r>
      <w:r>
        <w:rPr>
          <w:rFonts w:eastAsia="Times New Roman" w:cs="Times New Roman" w:ascii="Times New Roman" w:hAnsi="Times New Roman"/>
          <w:b/>
          <w:i/>
          <w:sz w:val="24"/>
          <w:szCs w:val="24"/>
          <w:lang w:eastAsia="ru-RU"/>
        </w:rPr>
        <w:t>(девятнадцать  миллионов пятьсот восемьдесят одна  тысяча  триста двадцать рублей 00 копеек)</w:t>
      </w:r>
      <w:r>
        <w:rPr>
          <w:rFonts w:eastAsia="Times New Roman" w:cs="Times New Roman" w:ascii="Times New Roman" w:hAnsi="Times New Roman"/>
          <w:sz w:val="24"/>
          <w:szCs w:val="24"/>
          <w:lang w:eastAsia="ru-RU" w:bidi="ru-RU"/>
        </w:rPr>
        <w:t xml:space="preserve">, в </w:t>
      </w:r>
      <w:r>
        <w:rPr>
          <w:rFonts w:eastAsia="Times New Roman" w:cs="Times New Roman" w:ascii="Times New Roman" w:hAnsi="Times New Roman"/>
          <w:b/>
          <w:sz w:val="24"/>
          <w:szCs w:val="24"/>
          <w:lang w:eastAsia="ru-RU" w:bidi="ru-RU"/>
        </w:rPr>
        <w:t xml:space="preserve">т.ч. НДС (20%) </w:t>
      </w:r>
      <w:r>
        <w:rPr>
          <w:rFonts w:eastAsia="Times New Roman" w:cs="Times New Roman" w:ascii="Times New Roman" w:hAnsi="Times New Roman"/>
          <w:b/>
          <w:sz w:val="24"/>
          <w:szCs w:val="24"/>
          <w:lang w:eastAsia="ru-RU"/>
        </w:rPr>
        <w:t>3 263 550,00 руб. (</w:t>
      </w:r>
      <w:r>
        <w:rPr>
          <w:rFonts w:eastAsia="Times New Roman" w:cs="Times New Roman" w:ascii="Times New Roman" w:hAnsi="Times New Roman"/>
          <w:b/>
          <w:i/>
          <w:sz w:val="24"/>
          <w:szCs w:val="24"/>
          <w:lang w:eastAsia="ru-RU"/>
        </w:rPr>
        <w:t>три миллиона двести шестьдесят три тысячи пятьсот пятьдесят рублей 00 копеек).</w:t>
      </w:r>
    </w:p>
    <w:p>
      <w:pPr>
        <w:pStyle w:val="Normal"/>
        <w:shd w:val="clear" w:color="auto" w:fill="FFFFFF"/>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p>
      <w:pPr>
        <w:pStyle w:val="Normal"/>
        <w:widowControl w:val="false"/>
        <w:suppressAutoHyphens w:val="false"/>
        <w:spacing w:lineRule="exact" w:line="322" w:before="0" w:after="0"/>
        <w:jc w:val="both"/>
        <w:rPr>
          <w:rFonts w:ascii="Times New Roman" w:hAnsi="Times New Roman" w:eastAsia="Times New Roman" w:cs="Times New Roman"/>
          <w:b/>
          <w:b/>
          <w:sz w:val="24"/>
          <w:szCs w:val="24"/>
          <w:lang w:eastAsia="ru-RU" w:bidi="ru-RU"/>
        </w:rPr>
      </w:pPr>
      <w:r>
        <w:rPr>
          <w:rFonts w:eastAsia="Times New Roman" w:cs="Times New Roman" w:ascii="Times New Roman" w:hAnsi="Times New Roman"/>
          <w:b/>
          <w:sz w:val="24"/>
          <w:szCs w:val="24"/>
          <w:lang w:eastAsia="ru-RU" w:bidi="ru-RU"/>
        </w:rPr>
        <w:t>Начальная (максимальная) цена контракта включает в себя расходы</w:t>
      </w:r>
    </w:p>
    <w:p>
      <w:pPr>
        <w:pStyle w:val="Normal"/>
        <w:widowControl w:val="false"/>
        <w:suppressAutoHyphens w:val="false"/>
        <w:spacing w:lineRule="exact" w:line="322"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связанные с выполнением работ в полном объеме и с надлежащим качеством, включая затраты на перевозку, страхование, уплату таможенных пошлин, налогов, сборов и других обязательных платежей связанных с исполнением контракта.</w:t>
      </w:r>
    </w:p>
    <w:p>
      <w:pPr>
        <w:pStyle w:val="Normal"/>
        <w:widowControl w:val="false"/>
        <w:suppressAutoHyphens w:val="false"/>
        <w:spacing w:lineRule="exact" w:line="260" w:before="0" w:after="0"/>
        <w:ind w:firstLine="60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p>
      <w:pPr>
        <w:pStyle w:val="Normal"/>
        <w:widowControl w:val="false"/>
        <w:suppressAutoHyphens w:val="false"/>
        <w:spacing w:lineRule="exact" w:line="26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Приложение:</w:t>
      </w:r>
    </w:p>
    <w:p>
      <w:pPr>
        <w:pStyle w:val="Normal"/>
        <w:widowControl w:val="false"/>
        <w:suppressAutoHyphens w:val="false"/>
        <w:spacing w:lineRule="exact" w:line="260" w:before="0" w:after="0"/>
        <w:ind w:firstLine="60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p>
      <w:pPr>
        <w:pStyle w:val="Normal"/>
        <w:widowControl w:val="false"/>
        <w:suppressAutoHyphens w:val="false"/>
        <w:spacing w:lineRule="exact" w:line="26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Расчёт начальной (максимальной) цены контракта.</w:t>
      </w:r>
    </w:p>
    <w:p>
      <w:pPr>
        <w:pStyle w:val="Normal"/>
        <w:numPr>
          <w:ilvl w:val="0"/>
          <w:numId w:val="0"/>
        </w:numPr>
        <w:tabs>
          <w:tab w:val="clear" w:pos="708"/>
          <w:tab w:val="left" w:pos="360" w:leader="none"/>
        </w:tabs>
        <w:suppressAutoHyphens w:val="false"/>
        <w:spacing w:lineRule="auto" w:line="240" w:before="120" w:after="120"/>
        <w:ind w:left="0" w:hanging="0"/>
        <w:outlineLvl w:val="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numPr>
          <w:ilvl w:val="0"/>
          <w:numId w:val="0"/>
        </w:numPr>
        <w:tabs>
          <w:tab w:val="clear" w:pos="708"/>
          <w:tab w:val="left" w:pos="360" w:leader="none"/>
        </w:tabs>
        <w:suppressAutoHyphens w:val="false"/>
        <w:spacing w:lineRule="auto" w:line="240" w:before="120" w:after="120"/>
        <w:ind w:left="0" w:hanging="0"/>
        <w:jc w:val="center"/>
        <w:outlineLvl w:val="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bl>
      <w:tblPr>
        <w:tblW w:w="50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2998"/>
        <w:gridCol w:w="2378"/>
        <w:gridCol w:w="5112"/>
      </w:tblGrid>
      <w:tr>
        <w:trPr>
          <w:trHeight w:val="20" w:hRule="atLeast"/>
        </w:trPr>
        <w:tc>
          <w:tcPr>
            <w:tcW w:w="2998" w:type="dxa"/>
            <w:tcBorders/>
            <w:shd w:color="auto" w:fill="auto" w:val="clear"/>
          </w:tcPr>
          <w:p>
            <w:pPr>
              <w:pStyle w:val="Normal"/>
              <w:widowControl w:val="false"/>
              <w:suppressAutoHyphens w:val="false"/>
              <w:spacing w:lineRule="auto" w:line="240" w:before="0" w:after="0"/>
              <w:jc w:val="center"/>
              <w:rPr>
                <w:rFonts w:ascii="Times New Roman" w:hAnsi="Times New Roman" w:eastAsia="Times New Roman" w:cs="Times New Roman"/>
                <w:b/>
                <w:b/>
                <w:bCs/>
                <w:i/>
                <w:i/>
                <w:sz w:val="24"/>
                <w:szCs w:val="24"/>
                <w:lang w:eastAsia="ru-RU"/>
              </w:rPr>
            </w:pPr>
            <w:r>
              <w:rPr>
                <w:rFonts w:eastAsia="Times New Roman" w:cs="Times New Roman" w:ascii="Times New Roman" w:hAnsi="Times New Roman"/>
                <w:b/>
                <w:bCs/>
                <w:i/>
                <w:sz w:val="24"/>
                <w:szCs w:val="24"/>
                <w:lang w:eastAsia="ru-RU"/>
              </w:rPr>
              <w:t>Заказчик</w:t>
            </w:r>
          </w:p>
        </w:tc>
        <w:tc>
          <w:tcPr>
            <w:tcW w:w="2378" w:type="dxa"/>
            <w:tcBorders/>
            <w:shd w:color="auto" w:fill="auto" w:val="clear"/>
            <w:vAlign w:val="bottom"/>
          </w:tcPr>
          <w:p>
            <w:pPr>
              <w:pStyle w:val="Normal"/>
              <w:widowControl w:val="false"/>
              <w:suppressAutoHyphens w:val="false"/>
              <w:spacing w:lineRule="auto" w:line="240" w:before="0" w:after="0"/>
              <w:jc w:val="center"/>
              <w:rPr>
                <w:rFonts w:ascii="Times New Roman" w:hAnsi="Times New Roman" w:eastAsia="Times New Roman" w:cs="Times New Roman"/>
                <w:bCs/>
                <w:i/>
                <w:i/>
                <w:sz w:val="24"/>
                <w:szCs w:val="24"/>
                <w:lang w:eastAsia="ru-RU"/>
              </w:rPr>
            </w:pPr>
            <w:r>
              <w:rPr>
                <w:rFonts w:eastAsia="Times New Roman" w:cs="Times New Roman" w:ascii="Times New Roman" w:hAnsi="Times New Roman"/>
                <w:bCs/>
                <w:i/>
                <w:sz w:val="24"/>
                <w:szCs w:val="24"/>
                <w:lang w:eastAsia="ru-RU"/>
              </w:rPr>
              <w:t>_____________</w:t>
            </w:r>
          </w:p>
          <w:p>
            <w:pPr>
              <w:pStyle w:val="Normal"/>
              <w:widowControl w:val="false"/>
              <w:suppressAutoHyphens w:val="false"/>
              <w:spacing w:lineRule="auto" w:line="240" w:before="0" w:after="0"/>
              <w:jc w:val="center"/>
              <w:rPr>
                <w:rFonts w:ascii="Times New Roman" w:hAnsi="Times New Roman" w:eastAsia="Times New Roman" w:cs="Times New Roman"/>
                <w:bCs/>
                <w:i/>
                <w:i/>
                <w:sz w:val="24"/>
                <w:szCs w:val="24"/>
                <w:lang w:eastAsia="ru-RU"/>
              </w:rPr>
            </w:pPr>
            <w:r>
              <w:rPr>
                <w:rFonts w:eastAsia="Times New Roman" w:cs="Times New Roman" w:ascii="Times New Roman" w:hAnsi="Times New Roman"/>
                <w:bCs/>
                <w:i/>
                <w:sz w:val="24"/>
                <w:szCs w:val="24"/>
                <w:lang w:eastAsia="ru-RU"/>
              </w:rPr>
              <w:t>(подпись)</w:t>
            </w:r>
          </w:p>
        </w:tc>
        <w:tc>
          <w:tcPr>
            <w:tcW w:w="5112" w:type="dxa"/>
            <w:tcBorders/>
            <w:shd w:color="auto" w:fill="auto" w:val="clear"/>
          </w:tcPr>
          <w:p>
            <w:pPr>
              <w:pStyle w:val="Normal"/>
              <w:widowControl w:val="false"/>
              <w:suppressAutoHyphens w:val="fals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r>
    </w:tbl>
    <w:p>
      <w:pPr>
        <w:sectPr>
          <w:headerReference w:type="default" r:id="rId4"/>
          <w:type w:val="nextPage"/>
          <w:pgSz w:w="11906" w:h="16838"/>
          <w:pgMar w:left="851" w:right="567" w:header="720" w:top="777" w:footer="0" w:bottom="284" w:gutter="0"/>
          <w:pgNumType w:fmt="decimal"/>
          <w:formProt w:val="false"/>
          <w:textDirection w:val="lrTb"/>
          <w:docGrid w:type="default" w:linePitch="326" w:charSpace="4096"/>
        </w:sectPr>
      </w:pPr>
    </w:p>
    <w:p>
      <w:pPr>
        <w:pStyle w:val="Normal"/>
        <w:suppressAutoHyphens w:val="false"/>
        <w:spacing w:lineRule="auto" w:line="240" w:before="0" w:after="0"/>
        <w:jc w:val="center"/>
        <w:rPr>
          <w:rFonts w:ascii="Times New Roman" w:hAnsi="Times New Roman" w:eastAsia="Times New Roman" w:cs="Times New Roman"/>
          <w:b/>
          <w:b/>
          <w:sz w:val="24"/>
          <w:szCs w:val="24"/>
          <w:lang w:eastAsia="ru-RU" w:bidi="ru-RU"/>
        </w:rPr>
      </w:pPr>
      <w:r>
        <w:rPr>
          <w:rFonts w:eastAsia="Times New Roman" w:cs="Times New Roman" w:ascii="Times New Roman" w:hAnsi="Times New Roman"/>
          <w:b/>
          <w:sz w:val="24"/>
          <w:szCs w:val="24"/>
          <w:lang w:eastAsia="ru-RU" w:bidi="ru-RU"/>
        </w:rPr>
        <w:t>Расчет начальной (максимальной) цены контракта при осуществлении закупок на выполнение подрядных работ</w:t>
      </w:r>
    </w:p>
    <w:p>
      <w:pPr>
        <w:pStyle w:val="Normal"/>
        <w:suppressAutoHyphens w:val="false"/>
        <w:spacing w:lineRule="auto" w:line="240" w:before="0" w:after="0"/>
        <w:jc w:val="center"/>
        <w:rPr>
          <w:rFonts w:ascii="Times New Roman" w:hAnsi="Times New Roman" w:eastAsia="Times New Roman" w:cs="Times New Roman"/>
          <w:b/>
          <w:b/>
          <w:sz w:val="24"/>
          <w:szCs w:val="24"/>
          <w:lang w:eastAsia="ru-RU" w:bidi="ru-RU"/>
        </w:rPr>
      </w:pPr>
      <w:r>
        <w:rPr>
          <w:rFonts w:eastAsia="Times New Roman" w:cs="Times New Roman" w:ascii="Times New Roman" w:hAnsi="Times New Roman"/>
          <w:b/>
          <w:sz w:val="24"/>
          <w:szCs w:val="24"/>
          <w:lang w:eastAsia="ru-RU" w:bidi="ru-RU"/>
        </w:rPr>
        <w:t>по строительству, реконструкции, капитальному ремонту, сносу объектов капитального строительства, работам</w:t>
      </w:r>
    </w:p>
    <w:p>
      <w:pPr>
        <w:pStyle w:val="Normal"/>
        <w:suppressAutoHyphens w:val="false"/>
        <w:spacing w:lineRule="auto" w:line="240" w:before="0" w:after="0"/>
        <w:jc w:val="center"/>
        <w:rPr>
          <w:rFonts w:ascii="Times New Roman" w:hAnsi="Times New Roman" w:eastAsia="Times New Roman" w:cs="Times New Roman"/>
          <w:b/>
          <w:b/>
          <w:sz w:val="24"/>
          <w:szCs w:val="24"/>
          <w:lang w:eastAsia="ru-RU" w:bidi="ru-RU"/>
        </w:rPr>
      </w:pPr>
      <w:r>
        <w:rPr>
          <w:rFonts w:eastAsia="Times New Roman" w:cs="Times New Roman" w:ascii="Times New Roman" w:hAnsi="Times New Roman"/>
          <w:b/>
          <w:sz w:val="24"/>
          <w:szCs w:val="24"/>
          <w:lang w:eastAsia="ru-RU" w:bidi="ru-RU"/>
        </w:rPr>
        <w:t>по сохранению объектов культурного наследия (памятников истории и культуры) народов Российской Федерации</w:t>
      </w:r>
    </w:p>
    <w:p>
      <w:pPr>
        <w:pStyle w:val="Normal"/>
        <w:suppressAutoHyphens w:val="false"/>
        <w:spacing w:lineRule="auto" w:line="240" w:before="0" w:after="0"/>
        <w:jc w:val="center"/>
        <w:rPr>
          <w:rFonts w:ascii="Times New Roman" w:hAnsi="Times New Roman" w:eastAsia="Times New Roman" w:cs="Times New Roman"/>
          <w:b/>
          <w:b/>
          <w:sz w:val="24"/>
          <w:szCs w:val="24"/>
          <w:lang w:eastAsia="ru-RU" w:bidi="ru-RU"/>
        </w:rPr>
      </w:pPr>
      <w:r>
        <w:rPr>
          <w:rFonts w:eastAsia="Times New Roman" w:cs="Times New Roman" w:ascii="Times New Roman" w:hAnsi="Times New Roman"/>
          <w:b/>
          <w:sz w:val="24"/>
          <w:szCs w:val="24"/>
          <w:lang w:eastAsia="ru-RU" w:bidi="ru-RU"/>
        </w:rPr>
        <w:t>и выполнению строительных работ в отношении объектов, не являющихся объектами капитального строительства</w:t>
      </w:r>
    </w:p>
    <w:p>
      <w:pPr>
        <w:pStyle w:val="Normal"/>
        <w:suppressAutoHyphens w:val="false"/>
        <w:spacing w:lineRule="auto" w:line="240" w:before="0" w:after="0"/>
        <w:jc w:val="both"/>
        <w:rPr>
          <w:rFonts w:ascii="Times New Roman" w:hAnsi="Times New Roman" w:eastAsia="Times New Roman" w:cs="Times New Roman"/>
          <w:b/>
          <w:b/>
          <w:sz w:val="24"/>
          <w:szCs w:val="24"/>
          <w:lang w:eastAsia="ru-RU" w:bidi="ru-RU"/>
        </w:rPr>
      </w:pPr>
      <w:r>
        <w:rPr>
          <w:rFonts w:eastAsia="Times New Roman" w:cs="Times New Roman" w:ascii="Times New Roman" w:hAnsi="Times New Roman"/>
          <w:b/>
          <w:sz w:val="24"/>
          <w:szCs w:val="24"/>
          <w:lang w:eastAsia="ru-RU" w:bidi="ru-RU"/>
        </w:rPr>
      </w:r>
    </w:p>
    <w:p>
      <w:pPr>
        <w:pStyle w:val="Normal"/>
        <w:suppressAutoHyphens w:val="false"/>
        <w:spacing w:lineRule="auto" w:line="240" w:before="0" w:after="0"/>
        <w:jc w:val="both"/>
        <w:rPr>
          <w:rFonts w:ascii="Times New Roman" w:hAnsi="Times New Roman" w:eastAsia="Times New Roman" w:cs="Times New Roman"/>
          <w:b/>
          <w:b/>
          <w:sz w:val="24"/>
          <w:szCs w:val="24"/>
          <w:u w:val="single"/>
          <w:lang w:eastAsia="ru-RU" w:bidi="ru-RU"/>
        </w:rPr>
      </w:pPr>
      <w:r>
        <w:rPr>
          <w:rFonts w:eastAsia="Times New Roman" w:cs="Times New Roman" w:ascii="Times New Roman" w:hAnsi="Times New Roman"/>
          <w:sz w:val="24"/>
          <w:szCs w:val="24"/>
          <w:lang w:eastAsia="ru-RU" w:bidi="ru-RU"/>
        </w:rPr>
        <w:t>по объекту:</w:t>
      </w:r>
      <w:r>
        <w:rPr>
          <w:rFonts w:eastAsia="Times New Roman" w:cs="Times New Roman" w:ascii="Times New Roman" w:hAnsi="Times New Roman"/>
          <w:b/>
          <w:sz w:val="24"/>
          <w:szCs w:val="24"/>
          <w:lang w:eastAsia="ru-RU" w:bidi="ru-RU"/>
        </w:rPr>
        <w:t xml:space="preserve"> </w:t>
      </w:r>
      <w:r>
        <w:rPr>
          <w:rFonts w:eastAsia="Times New Roman" w:cs="Times New Roman" w:ascii="Times New Roman" w:hAnsi="Times New Roman"/>
          <w:b/>
          <w:sz w:val="24"/>
          <w:szCs w:val="24"/>
          <w:u w:val="single"/>
          <w:lang w:eastAsia="ru-RU" w:bidi="ru-RU"/>
        </w:rPr>
        <w:t>«Капитальный ремонт дворовых и прилегающих территорий к домам 9,10,11,12,13 мкн. им. ген. Васильева города Армянска»</w:t>
      </w:r>
    </w:p>
    <w:p>
      <w:pPr>
        <w:pStyle w:val="Normal"/>
        <w:suppressAutoHyphens w:val="false"/>
        <w:spacing w:lineRule="auto" w:line="240" w:before="0" w:after="0"/>
        <w:jc w:val="both"/>
        <w:rPr>
          <w:rFonts w:ascii="Times New Roman" w:hAnsi="Times New Roman" w:eastAsia="Times New Roman" w:cs="Times New Roman"/>
          <w:b/>
          <w:b/>
          <w:sz w:val="24"/>
          <w:szCs w:val="24"/>
          <w:lang w:eastAsia="ru-RU" w:bidi="ru-RU"/>
        </w:rPr>
      </w:pPr>
      <w:r>
        <w:rPr>
          <w:rFonts w:eastAsia="Times New Roman" w:cs="Times New Roman" w:ascii="Times New Roman" w:hAnsi="Times New Roman"/>
          <w:b/>
          <w:sz w:val="24"/>
          <w:szCs w:val="24"/>
          <w:lang w:eastAsia="ru-RU" w:bidi="ru-RU"/>
        </w:rPr>
      </w:r>
    </w:p>
    <w:p>
      <w:pPr>
        <w:pStyle w:val="Normal"/>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 xml:space="preserve">по адресу: 296012, Республика Крым, </w:t>
      </w:r>
      <w:r>
        <w:rPr>
          <w:rFonts w:eastAsia="Times New Roman" w:cs="Times New Roman" w:ascii="Times New Roman" w:hAnsi="Times New Roman"/>
          <w:bCs/>
          <w:sz w:val="24"/>
          <w:szCs w:val="24"/>
          <w:lang w:eastAsia="ru-RU" w:bidi="ru-RU"/>
        </w:rPr>
        <w:t>г. Армянск, мкн.им.ген. Васильева</w:t>
      </w:r>
    </w:p>
    <w:p>
      <w:pPr>
        <w:pStyle w:val="Normal"/>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p>
      <w:pPr>
        <w:pStyle w:val="Normal"/>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Основания для расчета:</w:t>
      </w:r>
    </w:p>
    <w:p>
      <w:pPr>
        <w:pStyle w:val="Normal"/>
        <w:numPr>
          <w:ilvl w:val="0"/>
          <w:numId w:val="7"/>
        </w:numPr>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Постановление об утверждении проектно - сметной документации по капитальному ремонту объекта от  26.01.2021 г. N 31</w:t>
      </w:r>
    </w:p>
    <w:p>
      <w:pPr>
        <w:pStyle w:val="Normal"/>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 xml:space="preserve">   </w:t>
      </w:r>
      <w:r>
        <w:rPr>
          <w:rFonts w:eastAsia="Times New Roman" w:cs="Times New Roman" w:ascii="Times New Roman" w:hAnsi="Times New Roman"/>
          <w:sz w:val="24"/>
          <w:szCs w:val="24"/>
          <w:lang w:eastAsia="ru-RU" w:bidi="ru-RU"/>
        </w:rPr>
        <w:t>2.  Положительное заключение негосударственной экспертизы от 30.12.2020 г. N 77-2-1-0594-20</w:t>
      </w:r>
    </w:p>
    <w:p>
      <w:pPr>
        <w:pStyle w:val="Normal"/>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 xml:space="preserve">   </w:t>
      </w:r>
      <w:r>
        <w:rPr>
          <w:rFonts w:eastAsia="Times New Roman" w:cs="Times New Roman" w:ascii="Times New Roman" w:hAnsi="Times New Roman"/>
          <w:sz w:val="24"/>
          <w:szCs w:val="24"/>
          <w:lang w:eastAsia="ru-RU" w:bidi="ru-RU"/>
        </w:rPr>
        <w:t>3.  Утвержденный  сводный  сметный  расчет,  утвержденный локальный сметный расчет.</w:t>
      </w:r>
    </w:p>
    <w:p>
      <w:pPr>
        <w:pStyle w:val="Normal"/>
        <w:suppressAutoHyphens w:val="false"/>
        <w:spacing w:lineRule="auto" w:line="240" w:before="0" w:after="0"/>
        <w:jc w:val="both"/>
        <w:rPr>
          <w:rFonts w:ascii="Times New Roman" w:hAnsi="Times New Roman" w:eastAsia="Times New Roman" w:cs="Times New Roman"/>
          <w:iCs/>
          <w:sz w:val="24"/>
          <w:szCs w:val="24"/>
          <w:lang w:eastAsia="ru-RU" w:bidi="ru-RU"/>
        </w:rPr>
      </w:pPr>
      <w:r>
        <w:rPr>
          <w:rFonts w:eastAsia="Times New Roman" w:cs="Times New Roman" w:ascii="Times New Roman" w:hAnsi="Times New Roman"/>
          <w:sz w:val="24"/>
          <w:szCs w:val="24"/>
          <w:lang w:eastAsia="ru-RU" w:bidi="ru-RU"/>
        </w:rPr>
        <w:t xml:space="preserve">Сводная смета стоимости </w:t>
      </w:r>
      <w:r>
        <w:rPr>
          <w:rFonts w:eastAsia="Times New Roman" w:cs="Times New Roman" w:ascii="Times New Roman" w:hAnsi="Times New Roman"/>
          <w:iCs/>
          <w:sz w:val="24"/>
          <w:szCs w:val="24"/>
          <w:lang w:eastAsia="ru-RU" w:bidi="ru-RU"/>
        </w:rPr>
        <w:t>строительства</w:t>
      </w:r>
    </w:p>
    <w:p>
      <w:pPr>
        <w:pStyle w:val="Normal"/>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Выполнение работ  по объекту «Капитальный ремонт дворовых и прилегающих территорий к домам 9,10,11,12,13 мкн. им. ген. Васильева города Армянска»</w:t>
      </w:r>
    </w:p>
    <w:p>
      <w:pPr>
        <w:pStyle w:val="Normal"/>
        <w:suppressAutoHyphens w:val="false"/>
        <w:spacing w:lineRule="auto" w:line="240" w:before="0" w:after="0"/>
        <w:jc w:val="both"/>
        <w:rPr>
          <w:rFonts w:ascii="Times New Roman" w:hAnsi="Times New Roman" w:eastAsia="Times New Roman" w:cs="Times New Roman"/>
          <w:b/>
          <w:b/>
          <w:sz w:val="24"/>
          <w:szCs w:val="24"/>
          <w:lang w:eastAsia="ru-RU" w:bidi="ru-RU"/>
        </w:rPr>
      </w:pPr>
      <w:r>
        <w:rPr>
          <w:rFonts w:eastAsia="Times New Roman" w:cs="Times New Roman" w:ascii="Times New Roman" w:hAnsi="Times New Roman"/>
          <w:b/>
          <w:sz w:val="24"/>
          <w:szCs w:val="24"/>
          <w:lang w:eastAsia="ru-RU" w:bidi="ru-RU"/>
        </w:rPr>
      </w:r>
    </w:p>
    <w:tbl>
      <w:tblPr>
        <w:tblW w:w="13969" w:type="dxa"/>
        <w:jc w:val="left"/>
        <w:tblInd w:w="534" w:type="dxa"/>
        <w:tblLayout w:type="fixed"/>
        <w:tblCellMar>
          <w:top w:w="0" w:type="dxa"/>
          <w:left w:w="108" w:type="dxa"/>
          <w:bottom w:w="0" w:type="dxa"/>
          <w:right w:w="108" w:type="dxa"/>
        </w:tblCellMar>
        <w:tblLook w:firstRow="1" w:noVBand="1" w:lastRow="0" w:firstColumn="1" w:lastColumn="0" w:noHBand="0" w:val="04a0"/>
      </w:tblPr>
      <w:tblGrid>
        <w:gridCol w:w="539"/>
        <w:gridCol w:w="1884"/>
        <w:gridCol w:w="3742"/>
        <w:gridCol w:w="1671"/>
        <w:gridCol w:w="1419"/>
        <w:gridCol w:w="1707"/>
        <w:gridCol w:w="1480"/>
        <w:gridCol w:w="1525"/>
      </w:tblGrid>
      <w:tr>
        <w:trPr>
          <w:tblHeader w:val="true"/>
          <w:trHeight w:val="255" w:hRule="atLeast"/>
        </w:trPr>
        <w:tc>
          <w:tcPr>
            <w:tcW w:w="53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 xml:space="preserve">№ </w:t>
            </w:r>
            <w:r>
              <w:rPr>
                <w:rFonts w:eastAsia="Times New Roman" w:cs="Times New Roman" w:ascii="Times New Roman" w:hAnsi="Times New Roman"/>
                <w:sz w:val="24"/>
                <w:szCs w:val="24"/>
                <w:lang w:eastAsia="ru-RU" w:bidi="ru-RU"/>
              </w:rPr>
              <w:t>пп</w:t>
            </w:r>
          </w:p>
        </w:tc>
        <w:tc>
          <w:tcPr>
            <w:tcW w:w="188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Номера сметных расчетов и смет</w:t>
            </w:r>
          </w:p>
        </w:tc>
        <w:tc>
          <w:tcPr>
            <w:tcW w:w="374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Наименование глав, объектов, работ и затрат</w:t>
            </w:r>
          </w:p>
        </w:tc>
        <w:tc>
          <w:tcPr>
            <w:tcW w:w="6277" w:type="dxa"/>
            <w:gridSpan w:val="4"/>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Сметная стоимость тыс. руб.</w:t>
            </w:r>
          </w:p>
        </w:tc>
        <w:tc>
          <w:tcPr>
            <w:tcW w:w="152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Общая сметная стоимость        тыс. руб.</w:t>
            </w:r>
          </w:p>
        </w:tc>
      </w:tr>
      <w:tr>
        <w:trPr>
          <w:tblHeader w:val="true"/>
          <w:trHeight w:val="276" w:hRule="atLeast"/>
        </w:trPr>
        <w:tc>
          <w:tcPr>
            <w:tcW w:w="53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88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374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67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строительных работ</w:t>
            </w:r>
          </w:p>
        </w:tc>
        <w:tc>
          <w:tcPr>
            <w:tcW w:w="141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монтажных работ</w:t>
            </w:r>
          </w:p>
        </w:tc>
        <w:tc>
          <w:tcPr>
            <w:tcW w:w="170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оборудования, мебели, инвентаря</w:t>
            </w:r>
          </w:p>
        </w:tc>
        <w:tc>
          <w:tcPr>
            <w:tcW w:w="148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прочих</w:t>
            </w:r>
          </w:p>
        </w:tc>
        <w:tc>
          <w:tcPr>
            <w:tcW w:w="15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r>
      <w:tr>
        <w:trPr>
          <w:tblHeader w:val="true"/>
          <w:trHeight w:val="276" w:hRule="atLeast"/>
        </w:trPr>
        <w:tc>
          <w:tcPr>
            <w:tcW w:w="53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88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374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67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4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70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4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5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r>
      <w:tr>
        <w:trPr>
          <w:tblHeader w:val="true"/>
          <w:trHeight w:val="276" w:hRule="atLeast"/>
        </w:trPr>
        <w:tc>
          <w:tcPr>
            <w:tcW w:w="53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88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374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67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4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70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4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5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r>
      <w:tr>
        <w:trPr>
          <w:trHeight w:val="255" w:hRule="atLeast"/>
        </w:trPr>
        <w:tc>
          <w:tcPr>
            <w:tcW w:w="5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1</w:t>
            </w:r>
          </w:p>
        </w:tc>
        <w:tc>
          <w:tcPr>
            <w:tcW w:w="1884" w:type="dxa"/>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2</w:t>
            </w:r>
          </w:p>
        </w:tc>
        <w:tc>
          <w:tcPr>
            <w:tcW w:w="3742" w:type="dxa"/>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3</w:t>
            </w:r>
          </w:p>
        </w:tc>
        <w:tc>
          <w:tcPr>
            <w:tcW w:w="1671" w:type="dxa"/>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4</w:t>
            </w:r>
          </w:p>
        </w:tc>
        <w:tc>
          <w:tcPr>
            <w:tcW w:w="1419" w:type="dxa"/>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5</w:t>
            </w:r>
          </w:p>
        </w:tc>
        <w:tc>
          <w:tcPr>
            <w:tcW w:w="1707" w:type="dxa"/>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6</w:t>
            </w:r>
          </w:p>
        </w:tc>
        <w:tc>
          <w:tcPr>
            <w:tcW w:w="1480" w:type="dxa"/>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7</w:t>
            </w:r>
          </w:p>
        </w:tc>
        <w:tc>
          <w:tcPr>
            <w:tcW w:w="1525" w:type="dxa"/>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8</w:t>
            </w:r>
          </w:p>
        </w:tc>
      </w:tr>
      <w:tr>
        <w:trPr>
          <w:trHeight w:val="313" w:hRule="atLeast"/>
        </w:trPr>
        <w:tc>
          <w:tcPr>
            <w:tcW w:w="13967"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bCs/>
                <w:sz w:val="24"/>
                <w:szCs w:val="24"/>
                <w:lang w:eastAsia="ru-RU" w:bidi="ru-RU"/>
              </w:rPr>
              <w:t>Глава 2. Основные объекты</w:t>
            </w:r>
          </w:p>
        </w:tc>
      </w:tr>
      <w:tr>
        <w:trPr>
          <w:trHeight w:val="510" w:hRule="atLeast"/>
        </w:trPr>
        <w:tc>
          <w:tcPr>
            <w:tcW w:w="5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1</w:t>
            </w:r>
          </w:p>
        </w:tc>
        <w:tc>
          <w:tcPr>
            <w:tcW w:w="1884" w:type="dxa"/>
            <w:tcBorders>
              <w:top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02-01</w:t>
            </w:r>
          </w:p>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3742" w:type="dxa"/>
            <w:tcBorders>
              <w:top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«Капитальный ремонт дворовых и прилегающих территорий к домам 9,10,11,12,13 мкн. им. ген. Васильева города Армянска»</w:t>
            </w:r>
          </w:p>
        </w:tc>
        <w:tc>
          <w:tcPr>
            <w:tcW w:w="1671"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13 730,66</w:t>
            </w:r>
          </w:p>
        </w:tc>
        <w:tc>
          <w:tcPr>
            <w:tcW w:w="1419"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2 267,16</w:t>
            </w:r>
          </w:p>
        </w:tc>
        <w:tc>
          <w:tcPr>
            <w:tcW w:w="1707"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480"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525"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15 997,82</w:t>
            </w:r>
          </w:p>
        </w:tc>
      </w:tr>
      <w:tr>
        <w:trPr>
          <w:trHeight w:val="285" w:hRule="atLeast"/>
        </w:trPr>
        <w:tc>
          <w:tcPr>
            <w:tcW w:w="5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884" w:type="dxa"/>
            <w:tcBorders>
              <w:top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3742" w:type="dxa"/>
            <w:tcBorders>
              <w:top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ИТОГО по Главам 1-7</w:t>
            </w:r>
          </w:p>
        </w:tc>
        <w:tc>
          <w:tcPr>
            <w:tcW w:w="1671"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13 730,66</w:t>
            </w:r>
          </w:p>
        </w:tc>
        <w:tc>
          <w:tcPr>
            <w:tcW w:w="1419"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2 267,16</w:t>
            </w:r>
          </w:p>
        </w:tc>
        <w:tc>
          <w:tcPr>
            <w:tcW w:w="1707"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480"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525"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15 997,82</w:t>
            </w:r>
          </w:p>
        </w:tc>
      </w:tr>
      <w:tr>
        <w:trPr>
          <w:trHeight w:val="276" w:hRule="atLeast"/>
        </w:trPr>
        <w:tc>
          <w:tcPr>
            <w:tcW w:w="13967"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bCs/>
                <w:sz w:val="24"/>
                <w:szCs w:val="24"/>
                <w:lang w:eastAsia="ru-RU" w:bidi="ru-RU"/>
              </w:rPr>
              <w:t>Непредвиденные затраты</w:t>
            </w:r>
          </w:p>
        </w:tc>
      </w:tr>
      <w:tr>
        <w:trPr>
          <w:trHeight w:val="272" w:hRule="atLeast"/>
        </w:trPr>
        <w:tc>
          <w:tcPr>
            <w:tcW w:w="5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884" w:type="dxa"/>
            <w:tcBorders>
              <w:top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МДС 81-35.2004 п.4.96</w:t>
            </w:r>
          </w:p>
        </w:tc>
        <w:tc>
          <w:tcPr>
            <w:tcW w:w="3742" w:type="dxa"/>
            <w:tcBorders>
              <w:top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Непредвиденные затраты - 2%</w:t>
            </w:r>
          </w:p>
        </w:tc>
        <w:tc>
          <w:tcPr>
            <w:tcW w:w="1671"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274,61</w:t>
            </w:r>
          </w:p>
        </w:tc>
        <w:tc>
          <w:tcPr>
            <w:tcW w:w="1419"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45,34</w:t>
            </w:r>
          </w:p>
        </w:tc>
        <w:tc>
          <w:tcPr>
            <w:tcW w:w="1707"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480"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525"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319,95</w:t>
            </w:r>
          </w:p>
        </w:tc>
      </w:tr>
      <w:tr>
        <w:trPr>
          <w:trHeight w:val="322" w:hRule="atLeast"/>
        </w:trPr>
        <w:tc>
          <w:tcPr>
            <w:tcW w:w="5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5626" w:type="dxa"/>
            <w:gridSpan w:val="2"/>
            <w:tcBorders>
              <w:top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bCs/>
                <w:sz w:val="24"/>
                <w:szCs w:val="24"/>
                <w:lang w:eastAsia="ru-RU" w:bidi="ru-RU"/>
              </w:rPr>
              <w:t>Итого "Непредвиденные затраты"</w:t>
            </w:r>
          </w:p>
        </w:tc>
        <w:tc>
          <w:tcPr>
            <w:tcW w:w="1671"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274,61</w:t>
            </w:r>
          </w:p>
        </w:tc>
        <w:tc>
          <w:tcPr>
            <w:tcW w:w="1419"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45,34</w:t>
            </w:r>
          </w:p>
        </w:tc>
        <w:tc>
          <w:tcPr>
            <w:tcW w:w="1707"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480"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525"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319,95</w:t>
            </w:r>
          </w:p>
        </w:tc>
      </w:tr>
      <w:tr>
        <w:trPr>
          <w:trHeight w:val="230" w:hRule="atLeast"/>
        </w:trPr>
        <w:tc>
          <w:tcPr>
            <w:tcW w:w="5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884" w:type="dxa"/>
            <w:tcBorders>
              <w:top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3742" w:type="dxa"/>
            <w:tcBorders>
              <w:top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Всего по сводному сметному расчету</w:t>
            </w:r>
          </w:p>
        </w:tc>
        <w:tc>
          <w:tcPr>
            <w:tcW w:w="1671"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14 005,27</w:t>
            </w:r>
          </w:p>
        </w:tc>
        <w:tc>
          <w:tcPr>
            <w:tcW w:w="1419"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2 312,50</w:t>
            </w:r>
          </w:p>
        </w:tc>
        <w:tc>
          <w:tcPr>
            <w:tcW w:w="1707"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480"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525"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16 317,77</w:t>
            </w:r>
          </w:p>
        </w:tc>
      </w:tr>
      <w:tr>
        <w:trPr>
          <w:trHeight w:val="265" w:hRule="atLeast"/>
        </w:trPr>
        <w:tc>
          <w:tcPr>
            <w:tcW w:w="13967"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bCs/>
                <w:sz w:val="24"/>
                <w:szCs w:val="24"/>
                <w:lang w:eastAsia="ru-RU" w:bidi="ru-RU"/>
              </w:rPr>
              <w:t>Налоги и обязательные платежи</w:t>
            </w:r>
          </w:p>
        </w:tc>
      </w:tr>
      <w:tr>
        <w:trPr>
          <w:trHeight w:val="282" w:hRule="atLeast"/>
        </w:trPr>
        <w:tc>
          <w:tcPr>
            <w:tcW w:w="5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884" w:type="dxa"/>
            <w:tcBorders>
              <w:top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МДС 81-35.2004</w:t>
            </w:r>
          </w:p>
        </w:tc>
        <w:tc>
          <w:tcPr>
            <w:tcW w:w="3742" w:type="dxa"/>
            <w:tcBorders>
              <w:top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НДС-20%</w:t>
            </w:r>
          </w:p>
        </w:tc>
        <w:tc>
          <w:tcPr>
            <w:tcW w:w="1671"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2 801,05</w:t>
            </w:r>
          </w:p>
        </w:tc>
        <w:tc>
          <w:tcPr>
            <w:tcW w:w="1419"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462,50</w:t>
            </w:r>
          </w:p>
        </w:tc>
        <w:tc>
          <w:tcPr>
            <w:tcW w:w="1707"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480"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525"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3 263,55</w:t>
            </w:r>
          </w:p>
        </w:tc>
      </w:tr>
      <w:tr>
        <w:trPr>
          <w:trHeight w:val="274" w:hRule="atLeast"/>
        </w:trPr>
        <w:tc>
          <w:tcPr>
            <w:tcW w:w="5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884" w:type="dxa"/>
            <w:tcBorders>
              <w:top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3742" w:type="dxa"/>
            <w:tcBorders>
              <w:top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bCs/>
                <w:sz w:val="24"/>
                <w:szCs w:val="24"/>
                <w:lang w:eastAsia="ru-RU" w:bidi="ru-RU"/>
              </w:rPr>
              <w:t>Итого "Налоги и обязательные платежи"</w:t>
            </w:r>
          </w:p>
        </w:tc>
        <w:tc>
          <w:tcPr>
            <w:tcW w:w="1671"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2 801,05</w:t>
            </w:r>
          </w:p>
        </w:tc>
        <w:tc>
          <w:tcPr>
            <w:tcW w:w="1419"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462,50</w:t>
            </w:r>
          </w:p>
        </w:tc>
        <w:tc>
          <w:tcPr>
            <w:tcW w:w="1707"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480"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525"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3 263,55</w:t>
            </w:r>
          </w:p>
        </w:tc>
      </w:tr>
      <w:tr>
        <w:trPr>
          <w:trHeight w:val="366" w:hRule="atLeast"/>
        </w:trPr>
        <w:tc>
          <w:tcPr>
            <w:tcW w:w="5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5626" w:type="dxa"/>
            <w:gridSpan w:val="2"/>
            <w:tcBorders>
              <w:top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 </w:t>
            </w:r>
            <w:r>
              <w:rPr>
                <w:rFonts w:eastAsia="Times New Roman" w:cs="Times New Roman" w:ascii="Times New Roman" w:hAnsi="Times New Roman"/>
                <w:sz w:val="24"/>
                <w:szCs w:val="24"/>
                <w:lang w:eastAsia="ru-RU" w:bidi="ru-RU"/>
              </w:rPr>
              <w:t>Всего по сводному сметному расчету</w:t>
            </w:r>
          </w:p>
        </w:tc>
        <w:tc>
          <w:tcPr>
            <w:tcW w:w="1671"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16 806,32</w:t>
            </w:r>
          </w:p>
        </w:tc>
        <w:tc>
          <w:tcPr>
            <w:tcW w:w="1419"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2 775,00</w:t>
            </w:r>
          </w:p>
        </w:tc>
        <w:tc>
          <w:tcPr>
            <w:tcW w:w="1707"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480"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525"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19 581,32</w:t>
            </w:r>
          </w:p>
        </w:tc>
      </w:tr>
      <w:tr>
        <w:trPr>
          <w:trHeight w:val="255" w:hRule="atLeast"/>
        </w:trPr>
        <w:tc>
          <w:tcPr>
            <w:tcW w:w="12442"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bCs/>
                <w:sz w:val="24"/>
                <w:szCs w:val="24"/>
                <w:lang w:eastAsia="ru-RU" w:bidi="ru-RU"/>
              </w:rPr>
              <w:t>НМЦК</w:t>
            </w:r>
          </w:p>
        </w:tc>
        <w:tc>
          <w:tcPr>
            <w:tcW w:w="1525"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19 581 320,00</w:t>
            </w:r>
          </w:p>
        </w:tc>
      </w:tr>
    </w:tbl>
    <w:p>
      <w:pPr>
        <w:pStyle w:val="Normal"/>
        <w:suppressAutoHyphens w:val="false"/>
        <w:spacing w:lineRule="auto" w:line="240" w:before="0" w:after="0"/>
        <w:jc w:val="both"/>
        <w:rPr>
          <w:rFonts w:ascii="Times New Roman" w:hAnsi="Times New Roman" w:eastAsia="Times New Roman" w:cs="Times New Roman"/>
          <w:b/>
          <w:b/>
          <w:sz w:val="24"/>
          <w:szCs w:val="24"/>
          <w:lang w:eastAsia="ru-RU" w:bidi="ru-RU"/>
        </w:rPr>
      </w:pPr>
      <w:r>
        <w:rPr>
          <w:rFonts w:eastAsia="Times New Roman" w:cs="Times New Roman" w:ascii="Times New Roman" w:hAnsi="Times New Roman"/>
          <w:b/>
          <w:sz w:val="24"/>
          <w:szCs w:val="24"/>
          <w:lang w:eastAsia="ru-RU" w:bidi="ru-RU"/>
        </w:rPr>
      </w:r>
    </w:p>
    <w:p>
      <w:pPr>
        <w:pStyle w:val="Normal"/>
        <w:suppressAutoHyphens w:val="false"/>
        <w:spacing w:lineRule="auto" w:line="240" w:before="0" w:after="0"/>
        <w:jc w:val="both"/>
        <w:rPr>
          <w:rFonts w:ascii="Times New Roman" w:hAnsi="Times New Roman" w:eastAsia="Times New Roman" w:cs="Times New Roman"/>
          <w:b/>
          <w:b/>
          <w:i/>
          <w:i/>
          <w:sz w:val="24"/>
          <w:szCs w:val="24"/>
          <w:lang w:eastAsia="ru-RU" w:bidi="ru-RU"/>
        </w:rPr>
      </w:pPr>
      <w:r>
        <w:rPr>
          <w:rFonts w:eastAsia="Times New Roman" w:cs="Times New Roman" w:ascii="Times New Roman" w:hAnsi="Times New Roman"/>
          <w:b/>
          <w:i/>
          <w:sz w:val="24"/>
          <w:szCs w:val="24"/>
          <w:lang w:eastAsia="ru-RU" w:bidi="ru-RU"/>
        </w:rPr>
      </w:r>
    </w:p>
    <w:p>
      <w:pPr>
        <w:pStyle w:val="Normal"/>
        <w:suppressAutoHyphens w:val="false"/>
        <w:spacing w:lineRule="auto" w:line="240" w:before="0" w:after="0"/>
        <w:jc w:val="both"/>
        <w:rPr>
          <w:rFonts w:ascii="Times New Roman" w:hAnsi="Times New Roman" w:eastAsia="Times New Roman" w:cs="Times New Roman"/>
          <w:b/>
          <w:b/>
          <w:i/>
          <w:i/>
          <w:sz w:val="24"/>
          <w:szCs w:val="24"/>
          <w:lang w:eastAsia="ru-RU" w:bidi="ru-RU"/>
        </w:rPr>
      </w:pPr>
      <w:r>
        <w:rPr>
          <w:rFonts w:eastAsia="Times New Roman" w:cs="Times New Roman" w:ascii="Times New Roman" w:hAnsi="Times New Roman"/>
          <w:b/>
          <w:sz w:val="24"/>
          <w:szCs w:val="24"/>
          <w:lang w:eastAsia="ru-RU" w:bidi="ru-RU"/>
        </w:rPr>
        <w:t xml:space="preserve">Начальная (максимальная) цена контракта, определенная с использованием проектно-сметного метода, составляет 19 581 320,00 рублей </w:t>
      </w:r>
      <w:r>
        <w:rPr>
          <w:rFonts w:eastAsia="Times New Roman" w:cs="Times New Roman" w:ascii="Times New Roman" w:hAnsi="Times New Roman"/>
          <w:b/>
          <w:i/>
          <w:sz w:val="24"/>
          <w:szCs w:val="24"/>
          <w:lang w:eastAsia="ru-RU" w:bidi="ru-RU"/>
        </w:rPr>
        <w:t>(девятнадцать  миллионов пятьсот восемьдесят одна  тысяча  триста двадцать рублей 00 копеек).</w:t>
      </w:r>
    </w:p>
    <w:p>
      <w:pPr>
        <w:pStyle w:val="Normal"/>
        <w:suppressAutoHyphens w:val="false"/>
        <w:spacing w:lineRule="auto" w:line="240" w:before="0" w:after="0"/>
        <w:jc w:val="both"/>
        <w:rPr>
          <w:rFonts w:ascii="Times New Roman" w:hAnsi="Times New Roman" w:eastAsia="Times New Roman" w:cs="Times New Roman"/>
          <w:b/>
          <w:b/>
          <w:sz w:val="24"/>
          <w:szCs w:val="24"/>
          <w:lang w:eastAsia="ru-RU" w:bidi="ru-RU"/>
        </w:rPr>
      </w:pPr>
      <w:r>
        <w:rPr>
          <w:rFonts w:eastAsia="Times New Roman" w:cs="Times New Roman" w:ascii="Times New Roman" w:hAnsi="Times New Roman"/>
          <w:b/>
          <w:sz w:val="24"/>
          <w:szCs w:val="24"/>
          <w:lang w:eastAsia="ru-RU" w:bidi="ru-RU"/>
        </w:rPr>
      </w:r>
    </w:p>
    <w:tbl>
      <w:tblPr>
        <w:tblW w:w="50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4086"/>
        <w:gridCol w:w="3237"/>
        <w:gridCol w:w="6964"/>
      </w:tblGrid>
      <w:tr>
        <w:trPr>
          <w:trHeight w:val="594" w:hRule="atLeast"/>
        </w:trPr>
        <w:tc>
          <w:tcPr>
            <w:tcW w:w="4086" w:type="dxa"/>
            <w:tcBorders/>
            <w:shd w:color="auto" w:fill="auto" w:val="clear"/>
          </w:tcPr>
          <w:p>
            <w:pPr>
              <w:pStyle w:val="Normal"/>
              <w:widowControl w:val="false"/>
              <w:suppressAutoHyphens w:val="false"/>
              <w:spacing w:lineRule="auto" w:line="240" w:before="0" w:after="0"/>
              <w:jc w:val="both"/>
              <w:rPr>
                <w:rFonts w:ascii="Times New Roman" w:hAnsi="Times New Roman" w:eastAsia="Times New Roman" w:cs="Times New Roman"/>
                <w:bCs/>
                <w:i/>
                <w:i/>
                <w:sz w:val="24"/>
                <w:szCs w:val="24"/>
                <w:lang w:eastAsia="ru-RU" w:bidi="ru-RU"/>
              </w:rPr>
            </w:pPr>
            <w:r>
              <w:rPr>
                <w:rFonts w:eastAsia="Times New Roman" w:cs="Times New Roman" w:ascii="Times New Roman" w:hAnsi="Times New Roman"/>
                <w:bCs/>
                <w:i/>
                <w:sz w:val="24"/>
                <w:szCs w:val="24"/>
                <w:lang w:eastAsia="ru-RU" w:bidi="ru-RU"/>
              </w:rPr>
            </w:r>
          </w:p>
          <w:p>
            <w:pPr>
              <w:pStyle w:val="Normal"/>
              <w:widowControl w:val="false"/>
              <w:suppressAutoHyphens w:val="false"/>
              <w:spacing w:lineRule="auto" w:line="240" w:before="0" w:after="0"/>
              <w:jc w:val="both"/>
              <w:rPr>
                <w:rFonts w:ascii="Times New Roman" w:hAnsi="Times New Roman" w:eastAsia="Times New Roman" w:cs="Times New Roman"/>
                <w:bCs/>
                <w:i/>
                <w:i/>
                <w:sz w:val="24"/>
                <w:szCs w:val="24"/>
                <w:lang w:eastAsia="ru-RU" w:bidi="ru-RU"/>
              </w:rPr>
            </w:pPr>
            <w:r>
              <w:rPr>
                <w:rFonts w:eastAsia="Times New Roman" w:cs="Times New Roman" w:ascii="Times New Roman" w:hAnsi="Times New Roman"/>
                <w:bCs/>
                <w:i/>
                <w:sz w:val="24"/>
                <w:szCs w:val="24"/>
                <w:lang w:eastAsia="ru-RU" w:bidi="ru-RU"/>
              </w:rPr>
              <w:t>Контрактный управляющий</w:t>
            </w:r>
          </w:p>
        </w:tc>
        <w:tc>
          <w:tcPr>
            <w:tcW w:w="3237" w:type="dxa"/>
            <w:tcBorders/>
            <w:shd w:color="auto" w:fill="auto" w:val="clear"/>
            <w:vAlign w:val="bottom"/>
          </w:tcPr>
          <w:p>
            <w:pPr>
              <w:pStyle w:val="Normal"/>
              <w:widowControl w:val="false"/>
              <w:suppressAutoHyphens w:val="false"/>
              <w:spacing w:lineRule="auto" w:line="240" w:before="0" w:after="0"/>
              <w:jc w:val="both"/>
              <w:rPr>
                <w:rFonts w:ascii="Times New Roman" w:hAnsi="Times New Roman" w:eastAsia="Times New Roman" w:cs="Times New Roman"/>
                <w:bCs/>
                <w:i/>
                <w:i/>
                <w:sz w:val="24"/>
                <w:szCs w:val="24"/>
                <w:lang w:eastAsia="ru-RU" w:bidi="ru-RU"/>
              </w:rPr>
            </w:pPr>
            <w:r>
              <w:rPr>
                <w:rFonts w:eastAsia="Times New Roman" w:cs="Times New Roman" w:ascii="Times New Roman" w:hAnsi="Times New Roman"/>
                <w:bCs/>
                <w:i/>
                <w:sz w:val="24"/>
                <w:szCs w:val="24"/>
                <w:lang w:eastAsia="ru-RU" w:bidi="ru-RU"/>
              </w:rPr>
            </w:r>
          </w:p>
          <w:p>
            <w:pPr>
              <w:pStyle w:val="Normal"/>
              <w:widowControl w:val="false"/>
              <w:suppressAutoHyphens w:val="false"/>
              <w:spacing w:lineRule="auto" w:line="240" w:before="0" w:after="0"/>
              <w:jc w:val="both"/>
              <w:rPr>
                <w:rFonts w:ascii="Times New Roman" w:hAnsi="Times New Roman" w:eastAsia="Times New Roman" w:cs="Times New Roman"/>
                <w:bCs/>
                <w:i/>
                <w:i/>
                <w:sz w:val="24"/>
                <w:szCs w:val="24"/>
                <w:lang w:eastAsia="ru-RU" w:bidi="ru-RU"/>
              </w:rPr>
            </w:pPr>
            <w:r>
              <w:rPr>
                <w:rFonts w:eastAsia="Times New Roman" w:cs="Times New Roman" w:ascii="Times New Roman" w:hAnsi="Times New Roman"/>
                <w:bCs/>
                <w:i/>
                <w:sz w:val="24"/>
                <w:szCs w:val="24"/>
                <w:lang w:eastAsia="ru-RU" w:bidi="ru-RU"/>
              </w:rPr>
              <w:t>_____________</w:t>
            </w:r>
          </w:p>
          <w:p>
            <w:pPr>
              <w:pStyle w:val="Normal"/>
              <w:widowControl w:val="false"/>
              <w:suppressAutoHyphens w:val="false"/>
              <w:spacing w:lineRule="auto" w:line="240" w:before="0" w:after="0"/>
              <w:jc w:val="both"/>
              <w:rPr>
                <w:rFonts w:ascii="Times New Roman" w:hAnsi="Times New Roman" w:eastAsia="Times New Roman" w:cs="Times New Roman"/>
                <w:bCs/>
                <w:i/>
                <w:i/>
                <w:sz w:val="24"/>
                <w:szCs w:val="24"/>
                <w:lang w:eastAsia="ru-RU" w:bidi="ru-RU"/>
              </w:rPr>
            </w:pPr>
            <w:r>
              <w:rPr>
                <w:rFonts w:eastAsia="Times New Roman" w:cs="Times New Roman" w:ascii="Times New Roman" w:hAnsi="Times New Roman"/>
                <w:bCs/>
                <w:i/>
                <w:sz w:val="24"/>
                <w:szCs w:val="24"/>
                <w:lang w:eastAsia="ru-RU" w:bidi="ru-RU"/>
              </w:rPr>
              <w:t>(подпись)</w:t>
            </w:r>
          </w:p>
        </w:tc>
        <w:tc>
          <w:tcPr>
            <w:tcW w:w="6964" w:type="dxa"/>
            <w:tcBorders/>
            <w:shd w:color="auto" w:fill="auto" w:val="clear"/>
          </w:tcPr>
          <w:p>
            <w:pPr>
              <w:pStyle w:val="Normal"/>
              <w:widowControl w:val="false"/>
              <w:suppressAutoHyphens w:val="false"/>
              <w:spacing w:lineRule="auto" w:line="240" w:before="0" w:after="0"/>
              <w:jc w:val="both"/>
              <w:rPr>
                <w:rFonts w:ascii="Times New Roman" w:hAnsi="Times New Roman" w:eastAsia="Times New Roman" w:cs="Times New Roman"/>
                <w:bCs/>
                <w:sz w:val="24"/>
                <w:szCs w:val="24"/>
                <w:lang w:eastAsia="ru-RU" w:bidi="ru-RU"/>
              </w:rPr>
            </w:pPr>
            <w:r>
              <w:rPr>
                <w:rFonts w:eastAsia="Times New Roman" w:cs="Times New Roman" w:ascii="Times New Roman" w:hAnsi="Times New Roman"/>
                <w:bCs/>
                <w:sz w:val="24"/>
                <w:szCs w:val="24"/>
                <w:lang w:eastAsia="ru-RU" w:bidi="ru-RU"/>
              </w:rPr>
            </w:r>
          </w:p>
        </w:tc>
      </w:tr>
      <w:tr>
        <w:trPr>
          <w:trHeight w:val="644" w:hRule="atLeast"/>
        </w:trPr>
        <w:tc>
          <w:tcPr>
            <w:tcW w:w="4086" w:type="dxa"/>
            <w:tcBorders/>
            <w:shd w:color="auto" w:fill="auto" w:val="clear"/>
            <w:vAlign w:val="bottom"/>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«19» января 2022 года</w:t>
            </w:r>
          </w:p>
          <w:p>
            <w:pPr>
              <w:pStyle w:val="Normal"/>
              <w:widowControl w:val="false"/>
              <w:suppressAutoHyphens w:val="false"/>
              <w:spacing w:lineRule="auto" w:line="240" w:before="0" w:after="0"/>
              <w:jc w:val="both"/>
              <w:rPr>
                <w:rFonts w:ascii="Times New Roman" w:hAnsi="Times New Roman" w:eastAsia="Times New Roman" w:cs="Times New Roman"/>
                <w:bCs/>
                <w:i/>
                <w:i/>
                <w:sz w:val="24"/>
                <w:szCs w:val="24"/>
                <w:lang w:eastAsia="ru-RU" w:bidi="ru-RU"/>
              </w:rPr>
            </w:pPr>
            <w:r>
              <w:rPr>
                <w:rFonts w:eastAsia="Times New Roman" w:cs="Times New Roman" w:ascii="Times New Roman" w:hAnsi="Times New Roman"/>
                <w:sz w:val="24"/>
                <w:szCs w:val="24"/>
                <w:lang w:eastAsia="ru-RU" w:bidi="ru-RU"/>
              </w:rPr>
              <w:t>Дата формирования обоснования НМЦК</w:t>
            </w:r>
          </w:p>
        </w:tc>
        <w:tc>
          <w:tcPr>
            <w:tcW w:w="3237" w:type="dxa"/>
            <w:tcBorders/>
            <w:shd w:color="auto" w:fill="auto" w:val="clear"/>
            <w:vAlign w:val="bottom"/>
          </w:tcPr>
          <w:p>
            <w:pPr>
              <w:pStyle w:val="Normal"/>
              <w:widowControl w:val="false"/>
              <w:suppressAutoHyphens w:val="false"/>
              <w:spacing w:lineRule="auto" w:line="240" w:before="0" w:after="0"/>
              <w:jc w:val="both"/>
              <w:rPr>
                <w:rFonts w:ascii="Times New Roman" w:hAnsi="Times New Roman" w:eastAsia="Times New Roman" w:cs="Times New Roman"/>
                <w:bCs/>
                <w:i/>
                <w:i/>
                <w:sz w:val="24"/>
                <w:szCs w:val="24"/>
                <w:lang w:eastAsia="ru-RU" w:bidi="ru-RU"/>
              </w:rPr>
            </w:pPr>
            <w:r>
              <w:rPr>
                <w:rFonts w:eastAsia="Times New Roman" w:cs="Times New Roman" w:ascii="Times New Roman" w:hAnsi="Times New Roman"/>
                <w:bCs/>
                <w:i/>
                <w:sz w:val="24"/>
                <w:szCs w:val="24"/>
                <w:lang w:eastAsia="ru-RU" w:bidi="ru-RU"/>
              </w:rPr>
            </w:r>
          </w:p>
        </w:tc>
        <w:tc>
          <w:tcPr>
            <w:tcW w:w="6964" w:type="dxa"/>
            <w:tcBorders/>
            <w:shd w:color="auto" w:fill="auto" w:val="clear"/>
            <w:vAlign w:val="bottom"/>
          </w:tcPr>
          <w:p>
            <w:pPr>
              <w:pStyle w:val="Normal"/>
              <w:widowControl w:val="false"/>
              <w:suppressAutoHyphens w:val="false"/>
              <w:spacing w:lineRule="auto" w:line="240" w:before="0" w:after="0"/>
              <w:jc w:val="both"/>
              <w:rPr>
                <w:rFonts w:ascii="Times New Roman" w:hAnsi="Times New Roman" w:eastAsia="Times New Roman" w:cs="Times New Roman"/>
                <w:bCs/>
                <w:sz w:val="24"/>
                <w:szCs w:val="24"/>
                <w:lang w:eastAsia="ru-RU" w:bidi="ru-RU"/>
              </w:rPr>
            </w:pPr>
            <w:r>
              <w:rPr>
                <w:rFonts w:eastAsia="Times New Roman" w:cs="Times New Roman" w:ascii="Times New Roman" w:hAnsi="Times New Roman"/>
                <w:bCs/>
                <w:sz w:val="24"/>
                <w:szCs w:val="24"/>
                <w:lang w:eastAsia="ru-RU" w:bidi="ru-RU"/>
              </w:rPr>
            </w:r>
          </w:p>
        </w:tc>
      </w:tr>
    </w:tbl>
    <w:p>
      <w:pPr>
        <w:pStyle w:val="Normal"/>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p>
      <w:pPr>
        <w:pStyle w:val="Normal"/>
        <w:suppressAutoHyphens w:val="false"/>
        <w:spacing w:lineRule="auto" w:line="240" w:before="0" w:after="0"/>
        <w:jc w:val="both"/>
        <w:rPr>
          <w:rFonts w:ascii="Times New Roman" w:hAnsi="Times New Roman"/>
        </w:rPr>
      </w:pPr>
      <w:r>
        <w:rPr/>
      </w:r>
    </w:p>
    <w:sectPr>
      <w:headerReference w:type="default" r:id="rId5"/>
      <w:footerReference w:type="default" r:id="rId6"/>
      <w:type w:val="nextPage"/>
      <w:pgSz w:orient="landscape" w:w="16838" w:h="11906"/>
      <w:pgMar w:left="850" w:right="1701" w:header="0" w:top="1134" w:footer="708" w:bottom="1134" w:gutter="0"/>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 w:name="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suppressAutoHyphens w:val="true"/>
      <w:bidi w:val="0"/>
      <w:spacing w:lineRule="auto" w:line="276" w:before="0" w:after="20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536209103"/>
    </w:sdtPr>
    <w:sdtContent>
      <w:p>
        <w:pPr>
          <w:pStyle w:val="Style25"/>
          <w:jc w:val="center"/>
          <w:rPr/>
        </w:pPr>
        <w:r>
          <w:rPr/>
          <w:fldChar w:fldCharType="begin"/>
        </w:r>
        <w:r>
          <w:rPr/>
          <w:instrText> PAGE </w:instrText>
        </w:r>
        <w:r>
          <w:rPr/>
          <w:fldChar w:fldCharType="separate"/>
        </w:r>
        <w:r>
          <w:rPr/>
          <w:t>23</w:t>
        </w:r>
        <w:r>
          <w:rPr/>
          <w:fldChar w:fldCharType="end"/>
        </w:r>
      </w:p>
      <w:p>
        <w:pPr>
          <w:pStyle w:val="Style25"/>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864342899"/>
    </w:sdtPr>
    <w:sdtContent>
      <w:p>
        <w:pPr>
          <w:pStyle w:val="Style25"/>
          <w:jc w:val="center"/>
          <w:rPr/>
        </w:pPr>
        <w:r>
          <w:rPr/>
          <w:fldChar w:fldCharType="begin"/>
        </w:r>
        <w:r>
          <w:rPr/>
          <w:instrText> PAGE </w:instrText>
        </w:r>
        <w:r>
          <w:rPr/>
          <w:fldChar w:fldCharType="separate"/>
        </w:r>
        <w:r>
          <w:rPr/>
          <w:t>25</w:t>
        </w:r>
        <w:r>
          <w:rPr/>
          <w:fldChar w:fldCharType="end"/>
        </w:r>
      </w:p>
      <w:p>
        <w:pPr>
          <w:pStyle w:val="Style25"/>
          <w:rPr/>
        </w:pPr>
        <w:r>
          <w:rPr/>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432"/>
        </w:tabs>
        <w:ind w:left="432" w:hanging="432"/>
      </w:pPr>
      <w:rPr>
        <w:sz w:val="22"/>
        <w:b w:val="false"/>
        <w:szCs w:val="22"/>
      </w:rPr>
    </w:lvl>
    <w:lvl w:ilvl="1">
      <w:start w:val="1"/>
      <w:numFmt w:val="decimal"/>
      <w:lvlText w:val="%1.%2."/>
      <w:lvlJc w:val="left"/>
      <w:pPr>
        <w:tabs>
          <w:tab w:val="num" w:pos="576"/>
        </w:tabs>
        <w:ind w:left="576" w:hanging="576"/>
      </w:pPr>
      <w:rPr>
        <w:b w:val="false"/>
      </w:rPr>
    </w:lvl>
    <w:lvl w:ilvl="2">
      <w:start w:val="1"/>
      <w:numFmt w:val="decimal"/>
      <w:lvlText w:val="%1.%2.%3."/>
      <w:lvlJc w:val="left"/>
      <w:pPr>
        <w:tabs>
          <w:tab w:val="num" w:pos="170"/>
        </w:tabs>
        <w:ind w:left="720" w:hanging="720"/>
      </w:pPr>
      <w:rPr>
        <w:sz w:val="26"/>
        <w:i w:val="false"/>
        <w:b w:val="false"/>
        <w:szCs w:val="26"/>
        <w:iCs w:val="false"/>
        <w:bCs w:val="false"/>
        <w:rFonts w:ascii="Times New Roman" w:hAnsi="Times New Roman" w:cs="Times New Roman"/>
      </w:rPr>
    </w:lvl>
    <w:lvl w:ilvl="3">
      <w:start w:val="1"/>
      <w:numFmt w:val="decimal"/>
      <w:lvlText w:val="%1.%2.%3.%4."/>
      <w:lvlJc w:val="left"/>
      <w:pPr>
        <w:tabs>
          <w:tab w:val="num" w:pos="864"/>
        </w:tabs>
        <w:ind w:left="864" w:hanging="864"/>
      </w:pPr>
      <w:rPr>
        <w:sz w:val="26"/>
        <w:szCs w:val="26"/>
        <w:rFonts w:ascii="Times New Roman" w:hAnsi="Times New Roman" w:cs="Times New Roman"/>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lvl w:ilvl="0">
      <w:start w:val="1"/>
      <w:numFmt w:val="decimal"/>
      <w:lvlText w:val="%1."/>
      <w:lvlJc w:val="left"/>
      <w:pPr>
        <w:tabs>
          <w:tab w:val="num" w:pos="432"/>
        </w:tabs>
        <w:ind w:left="432" w:hanging="432"/>
      </w:pPr>
      <w:rPr>
        <w:sz w:val="22"/>
        <w:b w:val="false"/>
        <w:szCs w:val="22"/>
      </w:rPr>
    </w:lvl>
    <w:lvl w:ilvl="1">
      <w:start w:val="1"/>
      <w:numFmt w:val="decimal"/>
      <w:lvlText w:val="%1.%2."/>
      <w:lvlJc w:val="left"/>
      <w:pPr>
        <w:tabs>
          <w:tab w:val="num" w:pos="576"/>
        </w:tabs>
        <w:ind w:left="576" w:hanging="576"/>
      </w:pPr>
      <w:rPr>
        <w:b w:val="false"/>
      </w:rPr>
    </w:lvl>
    <w:lvl w:ilvl="2">
      <w:start w:val="1"/>
      <w:numFmt w:val="decimal"/>
      <w:lvlText w:val="%1.%2.%3."/>
      <w:lvlJc w:val="left"/>
      <w:pPr>
        <w:tabs>
          <w:tab w:val="num" w:pos="170"/>
        </w:tabs>
        <w:ind w:left="720" w:hanging="720"/>
      </w:pPr>
      <w:rPr>
        <w:sz w:val="26"/>
        <w:i w:val="false"/>
        <w:b w:val="false"/>
        <w:szCs w:val="26"/>
        <w:iCs w:val="false"/>
        <w:bCs w:val="false"/>
        <w:rFonts w:ascii="Times New Roman" w:hAnsi="Times New Roman" w:cs="Times New Roman"/>
      </w:rPr>
    </w:lvl>
    <w:lvl w:ilvl="3">
      <w:start w:val="1"/>
      <w:numFmt w:val="decimal"/>
      <w:lvlText w:val="%1.%2.%3.%4."/>
      <w:lvlJc w:val="left"/>
      <w:pPr>
        <w:tabs>
          <w:tab w:val="num" w:pos="864"/>
        </w:tabs>
        <w:ind w:left="864" w:hanging="864"/>
      </w:pPr>
      <w:rPr>
        <w:sz w:val="26"/>
        <w:szCs w:val="26"/>
        <w:rFonts w:ascii="Times New Roman" w:hAnsi="Times New Roman" w:cs="Times New Roman"/>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lvl w:ilvl="0">
      <w:start w:val="1"/>
      <w:numFmt w:val="decimal"/>
      <w:lvlText w:val="%1."/>
      <w:lvlJc w:val="left"/>
      <w:pPr>
        <w:tabs>
          <w:tab w:val="num" w:pos="432"/>
        </w:tabs>
        <w:ind w:left="432" w:hanging="432"/>
      </w:pPr>
      <w:rPr>
        <w:sz w:val="22"/>
        <w:b w:val="false"/>
        <w:szCs w:val="22"/>
      </w:rPr>
    </w:lvl>
    <w:lvl w:ilvl="1">
      <w:start w:val="1"/>
      <w:numFmt w:val="decimal"/>
      <w:lvlText w:val="%1.%2."/>
      <w:lvlJc w:val="left"/>
      <w:pPr>
        <w:tabs>
          <w:tab w:val="num" w:pos="576"/>
        </w:tabs>
        <w:ind w:left="576" w:hanging="576"/>
      </w:pPr>
      <w:rPr>
        <w:b w:val="false"/>
      </w:rPr>
    </w:lvl>
    <w:lvl w:ilvl="2">
      <w:start w:val="1"/>
      <w:numFmt w:val="decimal"/>
      <w:lvlText w:val="%1.%2.%3."/>
      <w:lvlJc w:val="left"/>
      <w:pPr>
        <w:tabs>
          <w:tab w:val="num" w:pos="170"/>
        </w:tabs>
        <w:ind w:left="720" w:hanging="720"/>
      </w:pPr>
      <w:rPr>
        <w:sz w:val="26"/>
        <w:i w:val="false"/>
        <w:b w:val="false"/>
        <w:szCs w:val="26"/>
        <w:iCs w:val="false"/>
        <w:bCs w:val="false"/>
        <w:rFonts w:ascii="Times New Roman" w:hAnsi="Times New Roman" w:cs="Times New Roman"/>
      </w:rPr>
    </w:lvl>
    <w:lvl w:ilvl="3">
      <w:start w:val="1"/>
      <w:numFmt w:val="decimal"/>
      <w:lvlText w:val="%1.%2.%3.%4."/>
      <w:lvlJc w:val="left"/>
      <w:pPr>
        <w:tabs>
          <w:tab w:val="num" w:pos="864"/>
        </w:tabs>
        <w:ind w:left="864" w:hanging="864"/>
      </w:pPr>
      <w:rPr>
        <w:sz w:val="26"/>
        <w:szCs w:val="26"/>
        <w:rFonts w:ascii="Times New Roman" w:hAnsi="Times New Roman" w:cs="Times New Roman"/>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lvl w:ilvl="0">
      <w:start w:val="1"/>
      <w:numFmt w:val="decimal"/>
      <w:lvlText w:val="%1."/>
      <w:lvlJc w:val="left"/>
      <w:pPr>
        <w:tabs>
          <w:tab w:val="num" w:pos="432"/>
        </w:tabs>
        <w:ind w:left="432" w:hanging="432"/>
      </w:pPr>
      <w:rPr>
        <w:sz w:val="22"/>
        <w:b w:val="false"/>
        <w:szCs w:val="22"/>
      </w:rPr>
    </w:lvl>
    <w:lvl w:ilvl="1">
      <w:start w:val="1"/>
      <w:numFmt w:val="decimal"/>
      <w:lvlText w:val="%1.%2."/>
      <w:lvlJc w:val="left"/>
      <w:pPr>
        <w:tabs>
          <w:tab w:val="num" w:pos="576"/>
        </w:tabs>
        <w:ind w:left="576" w:hanging="576"/>
      </w:pPr>
      <w:rPr>
        <w:b w:val="false"/>
      </w:rPr>
    </w:lvl>
    <w:lvl w:ilvl="2">
      <w:start w:val="1"/>
      <w:numFmt w:val="decimal"/>
      <w:lvlText w:val="%1.%2.%3."/>
      <w:lvlJc w:val="left"/>
      <w:pPr>
        <w:tabs>
          <w:tab w:val="num" w:pos="170"/>
        </w:tabs>
        <w:ind w:left="720" w:hanging="720"/>
      </w:pPr>
      <w:rPr>
        <w:sz w:val="26"/>
        <w:i w:val="false"/>
        <w:b w:val="false"/>
        <w:szCs w:val="26"/>
        <w:iCs w:val="false"/>
        <w:bCs w:val="false"/>
        <w:rFonts w:ascii="Times New Roman" w:hAnsi="Times New Roman" w:cs="Times New Roman"/>
      </w:rPr>
    </w:lvl>
    <w:lvl w:ilvl="3">
      <w:start w:val="1"/>
      <w:numFmt w:val="decimal"/>
      <w:lvlText w:val="%1.%2.%3.%4."/>
      <w:lvlJc w:val="left"/>
      <w:pPr>
        <w:tabs>
          <w:tab w:val="num" w:pos="864"/>
        </w:tabs>
        <w:ind w:left="864" w:hanging="864"/>
      </w:pPr>
      <w:rPr>
        <w:sz w:val="26"/>
        <w:szCs w:val="26"/>
        <w:rFonts w:ascii="Times New Roman" w:hAnsi="Times New Roman" w:cs="Times New Roman"/>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lvl w:ilvl="0">
      <w:start w:val="2"/>
      <w:numFmt w:val="decimal"/>
      <w:lvlText w:val="%1."/>
      <w:lvlJc w:val="left"/>
      <w:pPr>
        <w:tabs>
          <w:tab w:val="num" w:pos="0"/>
        </w:tabs>
        <w:ind w:left="360" w:hanging="360"/>
      </w:pPr>
    </w:lvl>
    <w:lvl w:ilvl="1">
      <w:start w:val="4"/>
      <w:numFmt w:val="decimal"/>
      <w:lvlText w:val="%1.%2."/>
      <w:lvlJc w:val="left"/>
      <w:pPr>
        <w:tabs>
          <w:tab w:val="num" w:pos="0"/>
        </w:tabs>
        <w:ind w:left="360" w:hanging="360"/>
      </w:pPr>
      <w:rPr>
        <w:b w:val="false"/>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start w:val="1"/>
      <w:numFmt w:val="decimal"/>
      <w:lvlText w:val="%1."/>
      <w:lvlJc w:val="left"/>
      <w:pPr>
        <w:tabs>
          <w:tab w:val="num" w:pos="0"/>
        </w:tabs>
        <w:ind w:left="600" w:hanging="360"/>
      </w:pPr>
    </w:lvl>
    <w:lvl w:ilvl="1">
      <w:start w:val="1"/>
      <w:numFmt w:val="lowerLetter"/>
      <w:lvlText w:val="%2."/>
      <w:lvlJc w:val="left"/>
      <w:pPr>
        <w:tabs>
          <w:tab w:val="num" w:pos="0"/>
        </w:tabs>
        <w:ind w:left="1320" w:hanging="360"/>
      </w:pPr>
    </w:lvl>
    <w:lvl w:ilvl="2">
      <w:start w:val="1"/>
      <w:numFmt w:val="lowerRoman"/>
      <w:lvlText w:val="%3."/>
      <w:lvlJc w:val="right"/>
      <w:pPr>
        <w:tabs>
          <w:tab w:val="num" w:pos="0"/>
        </w:tabs>
        <w:ind w:left="2040" w:hanging="180"/>
      </w:pPr>
    </w:lvl>
    <w:lvl w:ilvl="3">
      <w:start w:val="1"/>
      <w:numFmt w:val="decimal"/>
      <w:lvlText w:val="%4."/>
      <w:lvlJc w:val="left"/>
      <w:pPr>
        <w:tabs>
          <w:tab w:val="num" w:pos="0"/>
        </w:tabs>
        <w:ind w:left="2760" w:hanging="360"/>
      </w:pPr>
    </w:lvl>
    <w:lvl w:ilvl="4">
      <w:start w:val="1"/>
      <w:numFmt w:val="lowerLetter"/>
      <w:lvlText w:val="%5."/>
      <w:lvlJc w:val="left"/>
      <w:pPr>
        <w:tabs>
          <w:tab w:val="num" w:pos="0"/>
        </w:tabs>
        <w:ind w:left="3480" w:hanging="360"/>
      </w:pPr>
    </w:lvl>
    <w:lvl w:ilvl="5">
      <w:start w:val="1"/>
      <w:numFmt w:val="lowerRoman"/>
      <w:lvlText w:val="%6."/>
      <w:lvlJc w:val="right"/>
      <w:pPr>
        <w:tabs>
          <w:tab w:val="num" w:pos="0"/>
        </w:tabs>
        <w:ind w:left="4200" w:hanging="180"/>
      </w:pPr>
    </w:lvl>
    <w:lvl w:ilvl="6">
      <w:start w:val="1"/>
      <w:numFmt w:val="decimal"/>
      <w:lvlText w:val="%7."/>
      <w:lvlJc w:val="left"/>
      <w:pPr>
        <w:tabs>
          <w:tab w:val="num" w:pos="0"/>
        </w:tabs>
        <w:ind w:left="4920" w:hanging="360"/>
      </w:pPr>
    </w:lvl>
    <w:lvl w:ilvl="7">
      <w:start w:val="1"/>
      <w:numFmt w:val="lowerLetter"/>
      <w:lvlText w:val="%8."/>
      <w:lvlJc w:val="left"/>
      <w:pPr>
        <w:tabs>
          <w:tab w:val="num" w:pos="0"/>
        </w:tabs>
        <w:ind w:left="5640" w:hanging="360"/>
      </w:pPr>
    </w:lvl>
    <w:lvl w:ilvl="8">
      <w:start w:val="1"/>
      <w:numFmt w:val="lowerRoman"/>
      <w:lvlText w:val="%9."/>
      <w:lvlJc w:val="right"/>
      <w:pPr>
        <w:tabs>
          <w:tab w:val="num" w:pos="0"/>
        </w:tabs>
        <w:ind w:left="6360" w:hanging="180"/>
      </w:pPr>
    </w:lvl>
  </w:abstractNum>
  <w:abstractNum w:abstractNumId="8">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8"/>
    <w:lvlOverride w:ilvl="0">
      <w:startOverride w:val="1"/>
    </w:lvlOverride>
  </w:num>
  <w:num w:numId="11">
    <w:abstractNumId w:val="8"/>
  </w:num>
  <w:num w:numId="12">
    <w:abstractNumId w:val="8"/>
  </w:num>
  <w:num w:numId="13">
    <w:abstractNumId w:val="8"/>
  </w:num>
  <w:num w:numId="14">
    <w:abstractNumId w:val="8"/>
  </w:num>
  <w:num w:numId="15">
    <w:abstractNumId w:val="8"/>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96f7d"/>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unhideWhenUsed/>
    <w:qFormat/>
    <w:rPr/>
  </w:style>
  <w:style w:type="character" w:styleId="Style14" w:customStyle="1">
    <w:name w:val="Нижний колонтитул Знак"/>
    <w:basedOn w:val="DefaultParagraphFont"/>
    <w:uiPriority w:val="99"/>
    <w:qFormat/>
    <w:rsid w:val="003f044b"/>
    <w:rPr>
      <w:rFonts w:ascii="Times New Roman" w:hAnsi="Times New Roman" w:eastAsia="Times New Roman" w:cs="Times New Roman"/>
      <w:sz w:val="24"/>
      <w:szCs w:val="24"/>
      <w:lang w:eastAsia="ru-RU"/>
    </w:rPr>
  </w:style>
  <w:style w:type="character" w:styleId="Style15" w:customStyle="1">
    <w:name w:val="Текст выноски Знак"/>
    <w:basedOn w:val="DefaultParagraphFont"/>
    <w:uiPriority w:val="99"/>
    <w:semiHidden/>
    <w:qFormat/>
    <w:rsid w:val="00346b75"/>
    <w:rPr>
      <w:rFonts w:ascii="Tahoma" w:hAnsi="Tahoma" w:cs="Tahoma"/>
      <w:sz w:val="16"/>
      <w:szCs w:val="16"/>
    </w:rPr>
  </w:style>
  <w:style w:type="character" w:styleId="Style16">
    <w:name w:val="Интернет-ссылка"/>
    <w:basedOn w:val="DefaultParagraphFont"/>
    <w:uiPriority w:val="99"/>
    <w:unhideWhenUsed/>
    <w:rsid w:val="00fb3f97"/>
    <w:rPr>
      <w:color w:val="0000FF" w:themeColor="hyperlink"/>
      <w:u w:val="single"/>
    </w:rPr>
  </w:style>
  <w:style w:type="character" w:styleId="Style17" w:customStyle="1">
    <w:name w:val="Верхний колонтитул Знак"/>
    <w:basedOn w:val="DefaultParagraphFont"/>
    <w:link w:val="ae"/>
    <w:uiPriority w:val="99"/>
    <w:qFormat/>
    <w:rsid w:val="00f5142a"/>
    <w:rPr>
      <w:rFonts w:ascii="Times New Roman" w:hAnsi="Times New Roman" w:eastAsia="Times New Roman" w:cs="Times New Roman"/>
      <w:sz w:val="24"/>
      <w:szCs w:val="24"/>
      <w:lang w:eastAsia="ru-RU"/>
    </w:rPr>
  </w:style>
  <w:style w:type="paragraph" w:styleId="Style18" w:customStyle="1">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spacing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heading">
    <w:name w:val="index heading"/>
    <w:basedOn w:val="Normal"/>
    <w:qFormat/>
    <w:pPr>
      <w:suppressLineNumbers/>
    </w:pPr>
    <w:rPr>
      <w:rFonts w:cs="Arial"/>
    </w:rPr>
  </w:style>
  <w:style w:type="paragraph" w:styleId="Style23" w:customStyle="1">
    <w:name w:val="Верхний и нижний колонтитулы"/>
    <w:basedOn w:val="Normal"/>
    <w:qFormat/>
    <w:pPr/>
    <w:rPr/>
  </w:style>
  <w:style w:type="paragraph" w:styleId="Style24">
    <w:name w:val="Footer"/>
    <w:basedOn w:val="Normal"/>
    <w:uiPriority w:val="99"/>
    <w:rsid w:val="003f044b"/>
    <w:pPr>
      <w:tabs>
        <w:tab w:val="clear" w:pos="708"/>
        <w:tab w:val="center" w:pos="4677" w:leader="none"/>
        <w:tab w:val="right" w:pos="9355" w:leader="none"/>
      </w:tabs>
      <w:spacing w:lineRule="auto" w:line="240" w:before="0" w:after="0"/>
    </w:pPr>
    <w:rPr>
      <w:rFonts w:ascii="Times New Roman" w:hAnsi="Times New Roman" w:eastAsia="Times New Roman" w:cs="Times New Roman"/>
      <w:sz w:val="24"/>
      <w:szCs w:val="24"/>
      <w:lang w:eastAsia="ru-RU"/>
    </w:rPr>
  </w:style>
  <w:style w:type="paragraph" w:styleId="BalloonText">
    <w:name w:val="Balloon Text"/>
    <w:basedOn w:val="Normal"/>
    <w:uiPriority w:val="99"/>
    <w:semiHidden/>
    <w:unhideWhenUsed/>
    <w:qFormat/>
    <w:rsid w:val="00346b75"/>
    <w:pPr>
      <w:spacing w:lineRule="auto" w:line="240" w:before="0" w:after="0"/>
    </w:pPr>
    <w:rPr>
      <w:rFonts w:ascii="Tahoma" w:hAnsi="Tahoma" w:cs="Tahoma"/>
      <w:sz w:val="16"/>
      <w:szCs w:val="16"/>
    </w:rPr>
  </w:style>
  <w:style w:type="paragraph" w:styleId="ConsPlusNonformat" w:customStyle="1">
    <w:name w:val="ConsPlusNonformat"/>
    <w:qFormat/>
    <w:pPr>
      <w:widowControl/>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Style25">
    <w:name w:val="Header"/>
    <w:basedOn w:val="Normal"/>
    <w:link w:val="af"/>
    <w:uiPriority w:val="99"/>
    <w:rsid w:val="00f5142a"/>
    <w:pPr>
      <w:tabs>
        <w:tab w:val="clear" w:pos="708"/>
        <w:tab w:val="center" w:pos="4677" w:leader="none"/>
        <w:tab w:val="right" w:pos="9355" w:leader="none"/>
      </w:tabs>
      <w:spacing w:lineRule="auto" w:line="240" w:before="0" w:after="0"/>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lck.yandex.ru/redir/nWO_r1F33ck?data=NnBZTWRhdFZKOHQxUjhzSWFYVGhXUlFPaDNlTmdYUWd5amo4ckUtd0F5TXRxVDhYYXlWWkhtaWI5WWtiUGx2Mk9nREtGVjJKS0VaVDJtcEE0cGZVZkcwTTlTblc5TkV2UWFmclZWdmktMzRzdm40RHZKcG14REM3aG1lSDN0LUdzMzdId1Q4SmFJQ3Axc2paR3hoNkM3LUtzeElMVEc2ekZZbTZpYU8wdGQw&amp;b64e=2&amp;sign=4feeef4e99e1802f623f7d2b431fcb5f&amp;keyno=17" TargetMode="External"/><Relationship Id="rId3" Type="http://schemas.openxmlformats.org/officeDocument/2006/relationships/hyperlink" Target="normacs://normacs.ru/UQPC?dob=41518.000023&amp;dol=41579.540845"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F53C2-7494-4BD7-96CD-8E77B8E28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Application>LibreOffice/7.1.5.2$Windows_X86_64 LibreOffice_project/85f04e9f809797b8199d13c421bd8a2b025d52b5</Application>
  <AppVersion>15.0000</AppVersion>
  <Pages>25</Pages>
  <Words>5811</Words>
  <Characters>42759</Characters>
  <CharactersWithSpaces>48286</CharactersWithSpaces>
  <Paragraphs>449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2021-02-15T21:54:00Z</dcterms:created>
  <dc:creator>Пользователь</dc:creator>
  <dc:description/>
  <dc:language>ru-RU</dc:language>
  <cp:lastModifiedBy/>
  <cp:lastPrinted>2021-02-24T06:54:00Z</cp:lastPrinted>
  <dcterms:modified xsi:type="dcterms:W3CDTF">2022-01-20T14:50:58Z</dcterms:modified>
  <cp:revision>68</cp:revision>
  <dc:subject/>
  <dc:title/>
</cp:coreProperties>
</file>

<file path=docProps/custom.xml><?xml version="1.0" encoding="utf-8"?>
<Properties xmlns="http://schemas.openxmlformats.org/officeDocument/2006/custom-properties" xmlns:vt="http://schemas.openxmlformats.org/officeDocument/2006/docPropsVTypes"/>
</file>